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24" w:rsidRPr="00954924" w:rsidRDefault="00954924" w:rsidP="00954924">
      <w:pPr>
        <w:spacing w:before="100" w:after="200" w:line="276" w:lineRule="auto"/>
        <w:rPr>
          <w:rFonts w:ascii="Arial" w:eastAsia="Times New Roman" w:hAnsi="Arial" w:cs="Arial"/>
          <w:sz w:val="20"/>
          <w:szCs w:val="20"/>
        </w:rPr>
      </w:pPr>
      <w:bookmarkStart w:id="0" w:name="_GoBack"/>
    </w:p>
    <w:p w:rsidR="00954924" w:rsidRPr="00954924" w:rsidRDefault="00954924" w:rsidP="00954924">
      <w:pPr>
        <w:spacing w:before="100" w:after="200" w:line="276" w:lineRule="auto"/>
        <w:rPr>
          <w:rFonts w:ascii="Arial" w:eastAsia="Times New Roman" w:hAnsi="Arial" w:cs="Arial"/>
          <w:sz w:val="20"/>
          <w:szCs w:val="20"/>
        </w:rPr>
      </w:pPr>
    </w:p>
    <w:p w:rsidR="00954924" w:rsidRPr="00954924" w:rsidRDefault="00954924" w:rsidP="00954924">
      <w:pPr>
        <w:spacing w:after="0" w:line="276" w:lineRule="auto"/>
        <w:jc w:val="center"/>
        <w:rPr>
          <w:rFonts w:ascii="Arial" w:eastAsia="Calibri" w:hAnsi="Arial" w:cs="Arial"/>
          <w:b/>
          <w:bCs/>
          <w:color w:val="000000"/>
          <w:sz w:val="20"/>
          <w:szCs w:val="20"/>
        </w:rPr>
      </w:pPr>
      <w:r w:rsidRPr="00954924">
        <w:rPr>
          <w:rFonts w:ascii="Arial" w:eastAsia="Calibri" w:hAnsi="Arial" w:cs="Arial"/>
          <w:b/>
          <w:bCs/>
          <w:color w:val="000000"/>
          <w:sz w:val="20"/>
          <w:szCs w:val="20"/>
        </w:rPr>
        <w:t xml:space="preserve">POSTANOWIENIA DODATKOWE I ODMIENNE </w:t>
      </w:r>
    </w:p>
    <w:p w:rsidR="00954924" w:rsidRPr="00954924" w:rsidRDefault="00954924" w:rsidP="00954924">
      <w:pPr>
        <w:spacing w:after="0" w:line="276" w:lineRule="auto"/>
        <w:jc w:val="center"/>
        <w:rPr>
          <w:rFonts w:ascii="Arial" w:eastAsia="Calibri" w:hAnsi="Arial" w:cs="Arial"/>
          <w:b/>
          <w:bCs/>
          <w:color w:val="000000"/>
          <w:sz w:val="20"/>
          <w:szCs w:val="20"/>
        </w:rPr>
      </w:pPr>
      <w:r w:rsidRPr="00954924">
        <w:rPr>
          <w:rFonts w:ascii="Arial" w:eastAsia="Calibri" w:hAnsi="Arial" w:cs="Arial"/>
          <w:b/>
          <w:bCs/>
          <w:color w:val="000000"/>
          <w:sz w:val="20"/>
          <w:szCs w:val="20"/>
        </w:rPr>
        <w:t>OD OGÓLNYCH WARUNKÓW UBEZPIECZENIA EDU PLUS</w:t>
      </w:r>
      <w:r w:rsidRPr="00954924">
        <w:rPr>
          <w:rFonts w:ascii="Arial" w:eastAsia="Calibri" w:hAnsi="Arial" w:cs="Arial"/>
          <w:b/>
          <w:bCs/>
          <w:color w:val="000000"/>
          <w:sz w:val="20"/>
          <w:szCs w:val="20"/>
        </w:rPr>
        <w:br/>
        <w:t>zatwierdzonych uchwałą nr 05/07/05/2019 Zarządu Ubezpieczyciela z dnia 07.05.2019 r.</w:t>
      </w:r>
    </w:p>
    <w:p w:rsidR="00954924" w:rsidRPr="00954924" w:rsidRDefault="00954924" w:rsidP="00954924">
      <w:pPr>
        <w:spacing w:after="0" w:line="276" w:lineRule="auto"/>
        <w:jc w:val="center"/>
        <w:rPr>
          <w:rFonts w:ascii="Arial" w:eastAsia="Calibri" w:hAnsi="Arial" w:cs="Arial"/>
          <w:b/>
          <w:bCs/>
          <w:color w:val="000000"/>
          <w:sz w:val="20"/>
          <w:szCs w:val="20"/>
        </w:rPr>
      </w:pPr>
    </w:p>
    <w:p w:rsidR="00954924" w:rsidRPr="00954924" w:rsidRDefault="00954924" w:rsidP="00954924">
      <w:pPr>
        <w:spacing w:after="0" w:line="276" w:lineRule="auto"/>
        <w:jc w:val="center"/>
        <w:rPr>
          <w:rFonts w:ascii="Arial" w:eastAsia="Calibri" w:hAnsi="Arial" w:cs="Arial"/>
          <w:color w:val="000000"/>
          <w:sz w:val="20"/>
          <w:szCs w:val="20"/>
        </w:rPr>
      </w:pPr>
      <w:r w:rsidRPr="00954924">
        <w:rPr>
          <w:rFonts w:ascii="Arial" w:eastAsia="Calibri" w:hAnsi="Arial" w:cs="Arial"/>
          <w:color w:val="000000"/>
          <w:sz w:val="20"/>
          <w:szCs w:val="20"/>
        </w:rPr>
        <w:t xml:space="preserve">Działając na podstawie art. 812 § 8 k.c. InterRisk Towarzystwo Ubezpieczeń Spółka Akcyjna </w:t>
      </w:r>
      <w:proofErr w:type="spellStart"/>
      <w:r w:rsidRPr="00954924">
        <w:rPr>
          <w:rFonts w:ascii="Arial" w:eastAsia="Calibri" w:hAnsi="Arial" w:cs="Arial"/>
          <w:color w:val="000000"/>
          <w:sz w:val="20"/>
          <w:szCs w:val="20"/>
        </w:rPr>
        <w:t>Vienna</w:t>
      </w:r>
      <w:proofErr w:type="spellEnd"/>
      <w:r w:rsidRPr="00954924">
        <w:rPr>
          <w:rFonts w:ascii="Arial" w:eastAsia="Calibri" w:hAnsi="Arial" w:cs="Arial"/>
          <w:color w:val="000000"/>
          <w:sz w:val="20"/>
          <w:szCs w:val="20"/>
        </w:rPr>
        <w:t xml:space="preserve"> </w:t>
      </w:r>
      <w:proofErr w:type="spellStart"/>
      <w:r w:rsidRPr="00954924">
        <w:rPr>
          <w:rFonts w:ascii="Arial" w:eastAsia="Calibri" w:hAnsi="Arial" w:cs="Arial"/>
          <w:color w:val="000000"/>
          <w:sz w:val="20"/>
          <w:szCs w:val="20"/>
        </w:rPr>
        <w:t>Insurance</w:t>
      </w:r>
      <w:proofErr w:type="spellEnd"/>
      <w:r w:rsidRPr="00954924">
        <w:rPr>
          <w:rFonts w:ascii="Arial" w:eastAsia="Calibri" w:hAnsi="Arial" w:cs="Arial"/>
          <w:color w:val="000000"/>
          <w:sz w:val="20"/>
          <w:szCs w:val="20"/>
        </w:rPr>
        <w:t xml:space="preserve"> </w:t>
      </w:r>
      <w:proofErr w:type="spellStart"/>
      <w:r w:rsidRPr="00954924">
        <w:rPr>
          <w:rFonts w:ascii="Arial" w:eastAsia="Calibri" w:hAnsi="Arial" w:cs="Arial"/>
          <w:color w:val="000000"/>
          <w:sz w:val="20"/>
          <w:szCs w:val="20"/>
        </w:rPr>
        <w:t>Group</w:t>
      </w:r>
      <w:proofErr w:type="spellEnd"/>
      <w:r w:rsidRPr="00954924">
        <w:rPr>
          <w:rFonts w:ascii="Arial" w:eastAsia="Calibri" w:hAnsi="Arial" w:cs="Arial"/>
          <w:color w:val="000000"/>
          <w:sz w:val="20"/>
          <w:szCs w:val="20"/>
        </w:rPr>
        <w:t xml:space="preserve"> wskazuje różnice pomiędzy treścią oferty/umowy ubezpieczenia a OWU EDU PLUS zatwierdzonych uchwałą nr 05/07/05/2019 Zarządu Ubezpieczyciela z dnia 07.05.2019 r.</w:t>
      </w:r>
    </w:p>
    <w:p w:rsidR="00954924" w:rsidRPr="00954924" w:rsidRDefault="00954924" w:rsidP="00954924">
      <w:pPr>
        <w:spacing w:after="0" w:line="276" w:lineRule="auto"/>
        <w:rPr>
          <w:rFonts w:ascii="Arial" w:eastAsia="Calibri" w:hAnsi="Arial" w:cs="Arial"/>
          <w:color w:val="000000"/>
          <w:sz w:val="20"/>
          <w:szCs w:val="20"/>
        </w:rPr>
      </w:pPr>
    </w:p>
    <w:p w:rsidR="00954924" w:rsidRPr="00954924" w:rsidRDefault="00954924" w:rsidP="00954924">
      <w:pPr>
        <w:spacing w:after="0" w:line="276" w:lineRule="auto"/>
        <w:jc w:val="center"/>
        <w:rPr>
          <w:rFonts w:ascii="Arial" w:eastAsia="Calibri" w:hAnsi="Arial" w:cs="Arial"/>
          <w:color w:val="000000"/>
          <w:sz w:val="20"/>
          <w:szCs w:val="20"/>
        </w:rPr>
      </w:pPr>
      <w:r w:rsidRPr="00954924">
        <w:rPr>
          <w:rFonts w:ascii="Arial" w:eastAsia="Calibri" w:hAnsi="Arial" w:cs="Arial"/>
          <w:color w:val="000000"/>
          <w:sz w:val="20"/>
          <w:szCs w:val="20"/>
        </w:rPr>
        <w:t>§ 1</w:t>
      </w:r>
    </w:p>
    <w:p w:rsidR="00954924" w:rsidRPr="00954924" w:rsidRDefault="00954924" w:rsidP="00954924">
      <w:pPr>
        <w:spacing w:after="0" w:line="276" w:lineRule="auto"/>
        <w:jc w:val="center"/>
        <w:rPr>
          <w:rFonts w:ascii="Arial" w:eastAsia="Calibri" w:hAnsi="Arial" w:cs="Arial"/>
          <w:color w:val="000000"/>
          <w:sz w:val="20"/>
          <w:szCs w:val="20"/>
        </w:rPr>
      </w:pPr>
    </w:p>
    <w:p w:rsidR="00954924" w:rsidRPr="00954924" w:rsidRDefault="00954924" w:rsidP="00954924">
      <w:pPr>
        <w:spacing w:after="0" w:line="276" w:lineRule="auto"/>
        <w:rPr>
          <w:rFonts w:ascii="Arial" w:eastAsia="Calibri" w:hAnsi="Arial" w:cs="Arial"/>
          <w:sz w:val="20"/>
          <w:szCs w:val="20"/>
        </w:rPr>
      </w:pPr>
      <w:r w:rsidRPr="00954924">
        <w:rPr>
          <w:rFonts w:ascii="Arial" w:eastAsia="Calibri" w:hAnsi="Arial" w:cs="Arial"/>
          <w:color w:val="000000"/>
          <w:sz w:val="20"/>
          <w:szCs w:val="20"/>
        </w:rPr>
        <w:t>Dla potrzeb niniejszej oferty/umowy ubezpieczenia wprowadza się następujące postanowienia dodatkowe lub odmienne od OWU EDU PLUS:</w:t>
      </w:r>
    </w:p>
    <w:p w:rsidR="00954924" w:rsidRPr="00954924" w:rsidRDefault="00954924" w:rsidP="00954924">
      <w:pPr>
        <w:spacing w:before="100" w:after="200" w:line="276" w:lineRule="auto"/>
        <w:rPr>
          <w:rFonts w:ascii="Arial" w:eastAsia="Times New Roman" w:hAnsi="Arial" w:cs="Arial"/>
          <w:sz w:val="20"/>
          <w:szCs w:val="20"/>
        </w:rPr>
      </w:pPr>
    </w:p>
    <w:p w:rsidR="00954924" w:rsidRPr="00954924" w:rsidRDefault="00954924" w:rsidP="00954924">
      <w:pPr>
        <w:numPr>
          <w:ilvl w:val="0"/>
          <w:numId w:val="1"/>
        </w:numPr>
        <w:spacing w:before="100" w:after="200" w:line="276" w:lineRule="auto"/>
        <w:ind w:left="426"/>
        <w:jc w:val="both"/>
        <w:rPr>
          <w:rFonts w:ascii="Arial" w:eastAsia="Times New Roman" w:hAnsi="Arial" w:cs="Arial"/>
          <w:sz w:val="20"/>
          <w:szCs w:val="20"/>
        </w:rPr>
      </w:pPr>
      <w:r w:rsidRPr="00954924">
        <w:rPr>
          <w:rFonts w:ascii="Arial" w:eastAsia="Times New Roman" w:hAnsi="Arial" w:cs="Arial"/>
          <w:sz w:val="20"/>
          <w:szCs w:val="20"/>
        </w:rPr>
        <w:t>W § 2 dodaje się pkt 96), 97), 98 oraz 99) w brzmieniu:</w:t>
      </w:r>
    </w:p>
    <w:p w:rsidR="00954924" w:rsidRPr="00954924" w:rsidRDefault="00954924" w:rsidP="00954924">
      <w:pPr>
        <w:spacing w:before="100" w:after="200" w:line="276" w:lineRule="auto"/>
        <w:ind w:left="426"/>
        <w:jc w:val="both"/>
        <w:rPr>
          <w:rFonts w:ascii="Arial" w:eastAsia="Times New Roman" w:hAnsi="Arial" w:cs="Arial"/>
          <w:sz w:val="20"/>
          <w:szCs w:val="20"/>
        </w:rPr>
      </w:pPr>
      <w:r w:rsidRPr="00954924">
        <w:rPr>
          <w:rFonts w:ascii="Arial" w:eastAsia="Times New Roman" w:hAnsi="Arial" w:cs="Arial"/>
          <w:sz w:val="20"/>
          <w:szCs w:val="20"/>
        </w:rPr>
        <w:t>„</w:t>
      </w:r>
      <w:r w:rsidRPr="00954924">
        <w:rPr>
          <w:rFonts w:ascii="Arial" w:eastAsia="Times New Roman" w:hAnsi="Arial" w:cs="Arial"/>
          <w:b/>
          <w:color w:val="000000"/>
          <w:sz w:val="20"/>
          <w:szCs w:val="20"/>
        </w:rPr>
        <w:t xml:space="preserve">96) teren placówki oświatowej </w:t>
      </w:r>
      <w:r w:rsidRPr="00954924">
        <w:rPr>
          <w:rFonts w:ascii="Arial" w:eastAsia="Times New Roman" w:hAnsi="Arial" w:cs="Arial"/>
          <w:color w:val="000000"/>
          <w:sz w:val="20"/>
          <w:szCs w:val="20"/>
        </w:rPr>
        <w:t>– budynki oraz ogrodzony teren należący do placówki oświatowej, do której uczęszczał Ubezpieczony.”</w:t>
      </w:r>
    </w:p>
    <w:p w:rsidR="00954924" w:rsidRPr="00954924" w:rsidRDefault="00954924" w:rsidP="00954924">
      <w:pPr>
        <w:spacing w:before="100" w:after="200" w:line="276" w:lineRule="auto"/>
        <w:ind w:left="426"/>
        <w:jc w:val="both"/>
        <w:rPr>
          <w:rFonts w:ascii="Arial" w:eastAsia="Times New Roman" w:hAnsi="Arial" w:cs="Arial"/>
          <w:color w:val="000000"/>
          <w:sz w:val="20"/>
          <w:szCs w:val="20"/>
        </w:rPr>
      </w:pPr>
      <w:r w:rsidRPr="00954924">
        <w:rPr>
          <w:rFonts w:ascii="Arial" w:eastAsia="Times New Roman" w:hAnsi="Arial" w:cs="Arial"/>
          <w:sz w:val="20"/>
          <w:szCs w:val="20"/>
        </w:rPr>
        <w:t>„</w:t>
      </w:r>
      <w:r w:rsidRPr="00954924">
        <w:rPr>
          <w:rFonts w:ascii="Arial" w:eastAsia="Times New Roman" w:hAnsi="Arial" w:cs="Arial"/>
          <w:b/>
          <w:color w:val="000000"/>
          <w:sz w:val="20"/>
          <w:szCs w:val="20"/>
        </w:rPr>
        <w:t xml:space="preserve">97) Borelioza – </w:t>
      </w:r>
      <w:r w:rsidRPr="00954924">
        <w:rPr>
          <w:rFonts w:ascii="Arial" w:eastAsia="Times New Roman" w:hAnsi="Arial" w:cs="Arial"/>
          <w:color w:val="000000"/>
          <w:sz w:val="20"/>
          <w:szCs w:val="20"/>
        </w:rPr>
        <w:t>choroba rozpoznana przez lekarza specjalistę i zakwalifikowana zgodnie z Międzynarodową Statystyką Klasyfikacja chorób i problemów zdrowotnych ICD-10 jako kod: A69.2.”</w:t>
      </w:r>
    </w:p>
    <w:p w:rsidR="00954924" w:rsidRPr="00954924" w:rsidRDefault="00954924" w:rsidP="00954924">
      <w:pPr>
        <w:spacing w:before="100" w:after="0" w:line="240" w:lineRule="auto"/>
        <w:ind w:left="426"/>
        <w:contextualSpacing/>
        <w:rPr>
          <w:rFonts w:ascii="Arial" w:eastAsia="Calibri" w:hAnsi="Arial" w:cs="Arial"/>
          <w:sz w:val="20"/>
          <w:szCs w:val="20"/>
        </w:rPr>
      </w:pPr>
      <w:r w:rsidRPr="00954924">
        <w:rPr>
          <w:rFonts w:ascii="Arial" w:eastAsia="Calibri" w:hAnsi="Arial" w:cs="Arial"/>
          <w:b/>
          <w:sz w:val="20"/>
          <w:szCs w:val="20"/>
        </w:rPr>
        <w:t>„98) Zatrucie pokarmowe</w:t>
      </w:r>
      <w:r w:rsidRPr="00954924">
        <w:rPr>
          <w:rFonts w:ascii="Arial" w:eastAsia="Calibri" w:hAnsi="Arial" w:cs="Arial"/>
          <w:sz w:val="20"/>
          <w:szCs w:val="20"/>
        </w:rPr>
        <w:t xml:space="preserve"> – ostre zaburzenie żołądkowo-jelitowe, wynikające ze spożycia pokarmu lub przyjęcia płynów, charakteryzujące się biegunką lub wymiotami, spowodowane działaniem na przewód pokarmowy czynników szkodliwych, wymagające leczenia w warunkach szpitalnych przez minimum 3 dni. Za zatrucie pokarmowe nie uważa się zatrucia spowodowanego zażyciem środków odurzających, środków zastępczych, substancji psychotropowych oraz alkoholu.”</w:t>
      </w:r>
    </w:p>
    <w:p w:rsidR="00954924" w:rsidRPr="00954924" w:rsidRDefault="00954924" w:rsidP="00954924">
      <w:pPr>
        <w:spacing w:before="100" w:after="0" w:line="240" w:lineRule="auto"/>
        <w:ind w:left="426"/>
        <w:contextualSpacing/>
        <w:rPr>
          <w:rFonts w:ascii="Arial" w:eastAsia="Calibri" w:hAnsi="Arial" w:cs="Arial"/>
          <w:sz w:val="20"/>
          <w:szCs w:val="20"/>
        </w:rPr>
      </w:pPr>
    </w:p>
    <w:p w:rsidR="00954924" w:rsidRPr="00954924" w:rsidRDefault="00954924" w:rsidP="00954924">
      <w:pPr>
        <w:spacing w:after="0" w:line="240" w:lineRule="auto"/>
        <w:ind w:left="426"/>
        <w:jc w:val="both"/>
        <w:rPr>
          <w:rFonts w:ascii="Arial" w:eastAsia="Times New Roman" w:hAnsi="Arial" w:cs="Arial"/>
          <w:sz w:val="20"/>
          <w:szCs w:val="20"/>
          <w:lang w:eastAsia="pl-PL"/>
        </w:rPr>
      </w:pPr>
      <w:r w:rsidRPr="00954924">
        <w:rPr>
          <w:rFonts w:ascii="Arial" w:eastAsia="Calibri" w:hAnsi="Arial" w:cs="Arial"/>
          <w:b/>
          <w:sz w:val="20"/>
          <w:szCs w:val="20"/>
        </w:rPr>
        <w:t xml:space="preserve">„99) </w:t>
      </w:r>
      <w:r w:rsidRPr="00954924">
        <w:rPr>
          <w:rFonts w:ascii="Arial" w:eastAsia="Times New Roman" w:hAnsi="Arial" w:cs="Arial"/>
          <w:b/>
          <w:sz w:val="20"/>
          <w:szCs w:val="20"/>
          <w:lang w:eastAsia="pl-PL"/>
        </w:rPr>
        <w:t>choroba odzwierzęca</w:t>
      </w:r>
      <w:r w:rsidRPr="00954924">
        <w:rPr>
          <w:rFonts w:ascii="Arial" w:eastAsia="Times New Roman" w:hAnsi="Arial" w:cs="Arial"/>
          <w:sz w:val="20"/>
          <w:szCs w:val="20"/>
          <w:lang w:eastAsia="pl-PL"/>
        </w:rPr>
        <w:t xml:space="preserve"> – zarażenie się Ubezpieczonego w okresie ubezpieczenia chorobą, która przenosi się ze zwierzęcia na człowieka, </w:t>
      </w:r>
    </w:p>
    <w:p w:rsidR="00954924" w:rsidRPr="00954924" w:rsidRDefault="00954924" w:rsidP="00954924">
      <w:pPr>
        <w:autoSpaceDE w:val="0"/>
        <w:autoSpaceDN w:val="0"/>
        <w:adjustRightInd w:val="0"/>
        <w:spacing w:after="0" w:line="240" w:lineRule="auto"/>
        <w:rPr>
          <w:rFonts w:ascii="Calibri" w:eastAsia="Calibri" w:hAnsi="Calibri" w:cs="Calibri"/>
        </w:rPr>
      </w:pPr>
      <w:r w:rsidRPr="00954924">
        <w:rPr>
          <w:rFonts w:ascii="Calibri" w:eastAsia="Calibri" w:hAnsi="Calibri" w:cs="Calibri"/>
        </w:rPr>
        <w:t xml:space="preserve">         Są to następujące jednostki chorobowe: </w:t>
      </w:r>
    </w:p>
    <w:p w:rsidR="00954924" w:rsidRPr="00954924" w:rsidRDefault="00954924" w:rsidP="00954924">
      <w:pPr>
        <w:numPr>
          <w:ilvl w:val="0"/>
          <w:numId w:val="2"/>
        </w:numPr>
        <w:autoSpaceDE w:val="0"/>
        <w:autoSpaceDN w:val="0"/>
        <w:adjustRightInd w:val="0"/>
        <w:spacing w:before="100" w:after="138" w:line="240" w:lineRule="auto"/>
        <w:rPr>
          <w:rFonts w:ascii="Calibri" w:eastAsia="Calibri" w:hAnsi="Calibri" w:cs="Calibri"/>
        </w:rPr>
      </w:pPr>
      <w:r w:rsidRPr="00954924">
        <w:rPr>
          <w:rFonts w:ascii="Calibri" w:eastAsia="Calibri" w:hAnsi="Calibri" w:cs="Calibri"/>
        </w:rPr>
        <w:t xml:space="preserve">a) wścieklizna – choroba zakaźna wywołane przez wirus wścieklizny </w:t>
      </w:r>
    </w:p>
    <w:p w:rsidR="00954924" w:rsidRPr="00954924" w:rsidRDefault="00954924" w:rsidP="00954924">
      <w:pPr>
        <w:numPr>
          <w:ilvl w:val="0"/>
          <w:numId w:val="2"/>
        </w:numPr>
        <w:autoSpaceDE w:val="0"/>
        <w:autoSpaceDN w:val="0"/>
        <w:adjustRightInd w:val="0"/>
        <w:spacing w:before="100" w:after="138" w:line="240" w:lineRule="auto"/>
        <w:rPr>
          <w:rFonts w:ascii="Calibri" w:eastAsia="Calibri" w:hAnsi="Calibri" w:cs="Calibri"/>
        </w:rPr>
      </w:pPr>
      <w:r w:rsidRPr="00954924">
        <w:rPr>
          <w:rFonts w:ascii="Calibri" w:eastAsia="Calibri" w:hAnsi="Calibri" w:cs="Calibri"/>
        </w:rPr>
        <w:t xml:space="preserve">b) ornitoza - choroba zakaźna, wywołana przez drobnoustrój Chlamydia </w:t>
      </w:r>
      <w:proofErr w:type="spellStart"/>
      <w:r w:rsidRPr="00954924">
        <w:rPr>
          <w:rFonts w:ascii="Calibri" w:eastAsia="Calibri" w:hAnsi="Calibri" w:cs="Calibri"/>
        </w:rPr>
        <w:t>psittaci</w:t>
      </w:r>
      <w:proofErr w:type="spellEnd"/>
      <w:r w:rsidRPr="00954924">
        <w:rPr>
          <w:rFonts w:ascii="Calibri" w:eastAsia="Calibri" w:hAnsi="Calibri" w:cs="Calibri"/>
        </w:rPr>
        <w:t xml:space="preserve">. </w:t>
      </w:r>
    </w:p>
    <w:p w:rsidR="00954924" w:rsidRPr="00954924" w:rsidRDefault="00954924" w:rsidP="00954924">
      <w:pPr>
        <w:numPr>
          <w:ilvl w:val="0"/>
          <w:numId w:val="2"/>
        </w:numPr>
        <w:autoSpaceDE w:val="0"/>
        <w:autoSpaceDN w:val="0"/>
        <w:adjustRightInd w:val="0"/>
        <w:spacing w:before="100" w:after="138" w:line="240" w:lineRule="auto"/>
        <w:rPr>
          <w:rFonts w:ascii="Calibri" w:eastAsia="Calibri" w:hAnsi="Calibri" w:cs="Calibri"/>
        </w:rPr>
      </w:pPr>
      <w:r w:rsidRPr="00954924">
        <w:rPr>
          <w:rFonts w:ascii="Calibri" w:eastAsia="Calibri" w:hAnsi="Calibri" w:cs="Calibri"/>
        </w:rPr>
        <w:t xml:space="preserve">c) </w:t>
      </w:r>
      <w:proofErr w:type="spellStart"/>
      <w:r w:rsidRPr="00954924">
        <w:rPr>
          <w:rFonts w:ascii="Calibri" w:eastAsia="Calibri" w:hAnsi="Calibri" w:cs="Calibri"/>
        </w:rPr>
        <w:t>toksokaroza</w:t>
      </w:r>
      <w:proofErr w:type="spellEnd"/>
      <w:r w:rsidRPr="00954924">
        <w:rPr>
          <w:rFonts w:ascii="Calibri" w:eastAsia="Calibri" w:hAnsi="Calibri" w:cs="Calibri"/>
        </w:rPr>
        <w:t xml:space="preserve"> – choroba pasożytnicza wywoływana przez inwazję larw glist psich lub kocich. </w:t>
      </w:r>
    </w:p>
    <w:p w:rsidR="00954924" w:rsidRPr="00954924" w:rsidRDefault="00954924" w:rsidP="00954924">
      <w:pPr>
        <w:numPr>
          <w:ilvl w:val="0"/>
          <w:numId w:val="2"/>
        </w:numPr>
        <w:autoSpaceDE w:val="0"/>
        <w:autoSpaceDN w:val="0"/>
        <w:adjustRightInd w:val="0"/>
        <w:spacing w:before="100" w:after="138" w:line="240" w:lineRule="auto"/>
        <w:rPr>
          <w:rFonts w:ascii="Calibri" w:eastAsia="Calibri" w:hAnsi="Calibri" w:cs="Calibri"/>
        </w:rPr>
      </w:pPr>
      <w:r w:rsidRPr="00954924">
        <w:rPr>
          <w:rFonts w:ascii="Calibri" w:eastAsia="Calibri" w:hAnsi="Calibri" w:cs="Calibri"/>
        </w:rPr>
        <w:t>d) toksoplazmoza – choroba wywołana zarażeniem się pierwotniakiem (</w:t>
      </w:r>
      <w:proofErr w:type="spellStart"/>
      <w:r w:rsidRPr="00954924">
        <w:rPr>
          <w:rFonts w:ascii="Calibri" w:eastAsia="Calibri" w:hAnsi="Calibri" w:cs="Calibri"/>
        </w:rPr>
        <w:t>Toxoplasma</w:t>
      </w:r>
      <w:proofErr w:type="spellEnd"/>
      <w:r w:rsidRPr="00954924">
        <w:rPr>
          <w:rFonts w:ascii="Calibri" w:eastAsia="Calibri" w:hAnsi="Calibri" w:cs="Calibri"/>
        </w:rPr>
        <w:t xml:space="preserve"> </w:t>
      </w:r>
      <w:proofErr w:type="spellStart"/>
      <w:r w:rsidRPr="00954924">
        <w:rPr>
          <w:rFonts w:ascii="Calibri" w:eastAsia="Calibri" w:hAnsi="Calibri" w:cs="Calibri"/>
        </w:rPr>
        <w:t>gondii</w:t>
      </w:r>
      <w:proofErr w:type="spellEnd"/>
      <w:r w:rsidRPr="00954924">
        <w:rPr>
          <w:rFonts w:ascii="Calibri" w:eastAsia="Calibri" w:hAnsi="Calibri" w:cs="Calibri"/>
        </w:rPr>
        <w:t xml:space="preserve">). </w:t>
      </w:r>
    </w:p>
    <w:p w:rsidR="00954924" w:rsidRPr="00954924" w:rsidRDefault="00954924" w:rsidP="00954924">
      <w:pPr>
        <w:numPr>
          <w:ilvl w:val="0"/>
          <w:numId w:val="2"/>
        </w:numPr>
        <w:autoSpaceDE w:val="0"/>
        <w:autoSpaceDN w:val="0"/>
        <w:adjustRightInd w:val="0"/>
        <w:spacing w:before="100" w:after="0" w:line="240" w:lineRule="auto"/>
        <w:ind w:left="567"/>
        <w:rPr>
          <w:rFonts w:ascii="Calibri" w:eastAsia="Calibri" w:hAnsi="Calibri" w:cs="Calibri"/>
        </w:rPr>
      </w:pPr>
      <w:r w:rsidRPr="00954924">
        <w:rPr>
          <w:rFonts w:ascii="Calibri" w:eastAsia="Calibri" w:hAnsi="Calibri" w:cs="Calibri"/>
        </w:rPr>
        <w:t xml:space="preserve">e) Bruceloza – choroba wywołana przez bakterie </w:t>
      </w:r>
      <w:proofErr w:type="spellStart"/>
      <w:r w:rsidRPr="00954924">
        <w:rPr>
          <w:rFonts w:ascii="Calibri" w:eastAsia="Calibri" w:hAnsi="Calibri" w:cs="Calibri"/>
        </w:rPr>
        <w:t>Brucella</w:t>
      </w:r>
      <w:proofErr w:type="spellEnd"/>
      <w:r w:rsidRPr="00954924">
        <w:rPr>
          <w:rFonts w:ascii="Calibri" w:eastAsia="Calibri" w:hAnsi="Calibri" w:cs="Calibri"/>
        </w:rPr>
        <w:t xml:space="preserve"> </w:t>
      </w:r>
      <w:proofErr w:type="spellStart"/>
      <w:r w:rsidRPr="00954924">
        <w:rPr>
          <w:rFonts w:ascii="Calibri" w:eastAsia="Calibri" w:hAnsi="Calibri" w:cs="Calibri"/>
        </w:rPr>
        <w:t>melitensis</w:t>
      </w:r>
      <w:proofErr w:type="spellEnd"/>
      <w:r w:rsidRPr="00954924">
        <w:rPr>
          <w:rFonts w:ascii="Calibri" w:eastAsia="Calibri" w:hAnsi="Calibri" w:cs="Calibri"/>
        </w:rPr>
        <w:t xml:space="preserve">, </w:t>
      </w:r>
      <w:proofErr w:type="spellStart"/>
      <w:r w:rsidRPr="00954924">
        <w:rPr>
          <w:rFonts w:ascii="Calibri" w:eastAsia="Calibri" w:hAnsi="Calibri" w:cs="Calibri"/>
        </w:rPr>
        <w:t>Brucella</w:t>
      </w:r>
      <w:proofErr w:type="spellEnd"/>
      <w:r w:rsidRPr="00954924">
        <w:rPr>
          <w:rFonts w:ascii="Calibri" w:eastAsia="Calibri" w:hAnsi="Calibri" w:cs="Calibri"/>
        </w:rPr>
        <w:t xml:space="preserve"> </w:t>
      </w:r>
      <w:proofErr w:type="spellStart"/>
      <w:r w:rsidRPr="00954924">
        <w:rPr>
          <w:rFonts w:ascii="Calibri" w:eastAsia="Calibri" w:hAnsi="Calibri" w:cs="Calibri"/>
        </w:rPr>
        <w:t>suis</w:t>
      </w:r>
      <w:proofErr w:type="spellEnd"/>
      <w:r w:rsidRPr="00954924">
        <w:rPr>
          <w:rFonts w:ascii="Calibri" w:eastAsia="Calibri" w:hAnsi="Calibri" w:cs="Calibri"/>
        </w:rPr>
        <w:t xml:space="preserve">, </w:t>
      </w:r>
      <w:proofErr w:type="spellStart"/>
      <w:r w:rsidRPr="00954924">
        <w:rPr>
          <w:rFonts w:ascii="Calibri" w:eastAsia="Calibri" w:hAnsi="Calibri" w:cs="Calibri"/>
        </w:rPr>
        <w:t>Brucella</w:t>
      </w:r>
      <w:proofErr w:type="spellEnd"/>
      <w:r w:rsidRPr="00954924">
        <w:rPr>
          <w:rFonts w:ascii="Calibri" w:eastAsia="Calibri" w:hAnsi="Calibri" w:cs="Calibri"/>
        </w:rPr>
        <w:t xml:space="preserve"> abortus i </w:t>
      </w:r>
      <w:proofErr w:type="spellStart"/>
      <w:r w:rsidRPr="00954924">
        <w:rPr>
          <w:rFonts w:ascii="Calibri" w:eastAsia="Calibri" w:hAnsi="Calibri" w:cs="Calibri"/>
        </w:rPr>
        <w:t>Brucella</w:t>
      </w:r>
      <w:proofErr w:type="spellEnd"/>
      <w:r w:rsidRPr="00954924">
        <w:rPr>
          <w:rFonts w:ascii="Calibri" w:eastAsia="Calibri" w:hAnsi="Calibri" w:cs="Calibri"/>
        </w:rPr>
        <w:t xml:space="preserve"> </w:t>
      </w:r>
      <w:proofErr w:type="spellStart"/>
      <w:r w:rsidRPr="00954924">
        <w:rPr>
          <w:rFonts w:ascii="Calibri" w:eastAsia="Calibri" w:hAnsi="Calibri" w:cs="Calibri"/>
        </w:rPr>
        <w:t>canis</w:t>
      </w:r>
      <w:proofErr w:type="spellEnd"/>
      <w:r w:rsidRPr="00954924">
        <w:rPr>
          <w:rFonts w:ascii="Calibri" w:eastAsia="Calibri" w:hAnsi="Calibri" w:cs="Calibri"/>
        </w:rPr>
        <w:t>.</w:t>
      </w:r>
    </w:p>
    <w:p w:rsidR="00954924" w:rsidRPr="00954924" w:rsidRDefault="00954924" w:rsidP="00954924">
      <w:pPr>
        <w:numPr>
          <w:ilvl w:val="0"/>
          <w:numId w:val="2"/>
        </w:numPr>
        <w:autoSpaceDE w:val="0"/>
        <w:autoSpaceDN w:val="0"/>
        <w:adjustRightInd w:val="0"/>
        <w:spacing w:before="100" w:after="0" w:line="240" w:lineRule="auto"/>
        <w:ind w:left="426"/>
        <w:rPr>
          <w:rFonts w:ascii="Calibri" w:eastAsia="Calibri" w:hAnsi="Calibri" w:cs="Calibri"/>
        </w:rPr>
      </w:pPr>
      <w:r w:rsidRPr="00954924">
        <w:rPr>
          <w:rFonts w:ascii="Calibri" w:eastAsia="Calibri" w:hAnsi="Calibri" w:cs="Calibri"/>
        </w:rPr>
        <w:t xml:space="preserve">f) Bąblowica- choroba pasożytnicza wywoływana przez </w:t>
      </w:r>
      <w:hyperlink r:id="rId5" w:tooltip="Tasiemce" w:history="1">
        <w:r w:rsidRPr="00954924">
          <w:rPr>
            <w:rFonts w:ascii="Calibri" w:eastAsia="Calibri" w:hAnsi="Calibri" w:cs="Calibri"/>
            <w:color w:val="0000FF"/>
            <w:sz w:val="20"/>
            <w:szCs w:val="20"/>
            <w:u w:val="single"/>
          </w:rPr>
          <w:t>tasiemce</w:t>
        </w:r>
      </w:hyperlink>
      <w:r w:rsidRPr="00954924">
        <w:rPr>
          <w:rFonts w:ascii="Calibri" w:eastAsia="Calibri" w:hAnsi="Calibri" w:cs="Calibri"/>
        </w:rPr>
        <w:t xml:space="preserve"> z rodzaju </w:t>
      </w:r>
      <w:hyperlink r:id="rId6" w:tooltip="Echinococcus" w:history="1">
        <w:proofErr w:type="spellStart"/>
        <w:r w:rsidRPr="00954924">
          <w:rPr>
            <w:rFonts w:ascii="Calibri" w:eastAsia="Calibri" w:hAnsi="Calibri" w:cs="Calibri"/>
            <w:i/>
            <w:iCs/>
            <w:color w:val="0000FF"/>
            <w:sz w:val="20"/>
            <w:szCs w:val="20"/>
            <w:u w:val="single"/>
          </w:rPr>
          <w:t>Echinococcus</w:t>
        </w:r>
        <w:proofErr w:type="spellEnd"/>
      </w:hyperlink>
      <w:r w:rsidRPr="00954924">
        <w:rPr>
          <w:rFonts w:ascii="Calibri" w:eastAsia="Calibri" w:hAnsi="Calibri" w:cs="Calibri"/>
        </w:rPr>
        <w:t xml:space="preserve">: </w:t>
      </w:r>
      <w:hyperlink r:id="rId7" w:tooltip="Tasiemiec bąblowcowy" w:history="1">
        <w:r w:rsidRPr="00954924">
          <w:rPr>
            <w:rFonts w:ascii="Calibri" w:eastAsia="Calibri" w:hAnsi="Calibri" w:cs="Calibri"/>
            <w:i/>
            <w:iCs/>
            <w:color w:val="0000FF"/>
            <w:sz w:val="20"/>
            <w:szCs w:val="20"/>
            <w:u w:val="single"/>
          </w:rPr>
          <w:t xml:space="preserve">E.  </w:t>
        </w:r>
        <w:proofErr w:type="spellStart"/>
        <w:r w:rsidRPr="00954924">
          <w:rPr>
            <w:rFonts w:ascii="Calibri" w:eastAsia="Calibri" w:hAnsi="Calibri" w:cs="Calibri"/>
            <w:i/>
            <w:iCs/>
            <w:color w:val="0000FF"/>
            <w:sz w:val="20"/>
            <w:szCs w:val="20"/>
            <w:u w:val="single"/>
          </w:rPr>
          <w:t>granulosus</w:t>
        </w:r>
        <w:proofErr w:type="spellEnd"/>
      </w:hyperlink>
      <w:r w:rsidRPr="00954924">
        <w:rPr>
          <w:rFonts w:ascii="Calibri" w:eastAsia="Calibri" w:hAnsi="Calibri" w:cs="Calibri"/>
        </w:rPr>
        <w:t xml:space="preserve"> i </w:t>
      </w:r>
      <w:hyperlink r:id="rId8" w:tooltip="Echinococcus multilocularis" w:history="1">
        <w:r w:rsidRPr="00954924">
          <w:rPr>
            <w:rFonts w:ascii="Calibri" w:eastAsia="Calibri" w:hAnsi="Calibri" w:cs="Calibri"/>
            <w:i/>
            <w:iCs/>
            <w:color w:val="0000FF"/>
            <w:sz w:val="20"/>
            <w:szCs w:val="20"/>
            <w:u w:val="single"/>
          </w:rPr>
          <w:t xml:space="preserve">E. </w:t>
        </w:r>
        <w:proofErr w:type="spellStart"/>
        <w:r w:rsidRPr="00954924">
          <w:rPr>
            <w:rFonts w:ascii="Calibri" w:eastAsia="Calibri" w:hAnsi="Calibri" w:cs="Calibri"/>
            <w:i/>
            <w:iCs/>
            <w:color w:val="0000FF"/>
            <w:sz w:val="20"/>
            <w:szCs w:val="20"/>
            <w:u w:val="single"/>
          </w:rPr>
          <w:t>multilocularis</w:t>
        </w:r>
        <w:proofErr w:type="spellEnd"/>
      </w:hyperlink>
      <w:r w:rsidRPr="00954924">
        <w:rPr>
          <w:rFonts w:ascii="Calibri" w:eastAsia="Calibri" w:hAnsi="Calibri" w:cs="Calibri"/>
        </w:rPr>
        <w:t>”</w:t>
      </w:r>
    </w:p>
    <w:p w:rsidR="00954924" w:rsidRPr="00954924" w:rsidRDefault="00954924" w:rsidP="00954924">
      <w:pPr>
        <w:spacing w:before="100" w:after="0" w:line="240" w:lineRule="auto"/>
        <w:ind w:left="426"/>
        <w:contextualSpacing/>
        <w:rPr>
          <w:rFonts w:ascii="Arial" w:eastAsia="Calibri" w:hAnsi="Arial" w:cs="Arial"/>
          <w:sz w:val="20"/>
          <w:szCs w:val="20"/>
        </w:rPr>
      </w:pPr>
    </w:p>
    <w:p w:rsidR="00954924" w:rsidRPr="00954924" w:rsidRDefault="00954924" w:rsidP="00954924">
      <w:pPr>
        <w:spacing w:before="100" w:after="0" w:line="240" w:lineRule="auto"/>
        <w:ind w:left="426"/>
        <w:contextualSpacing/>
        <w:rPr>
          <w:rFonts w:ascii="Arial" w:eastAsia="Calibri" w:hAnsi="Arial" w:cs="Arial"/>
          <w:sz w:val="20"/>
          <w:szCs w:val="20"/>
        </w:rPr>
      </w:pPr>
    </w:p>
    <w:p w:rsidR="00954924" w:rsidRPr="00954924" w:rsidRDefault="00954924" w:rsidP="00954924">
      <w:pPr>
        <w:spacing w:before="100" w:after="0" w:line="240" w:lineRule="auto"/>
        <w:ind w:left="426"/>
        <w:contextualSpacing/>
        <w:rPr>
          <w:rFonts w:ascii="Arial" w:eastAsia="Calibri" w:hAnsi="Arial" w:cs="Arial"/>
          <w:sz w:val="20"/>
          <w:szCs w:val="20"/>
        </w:rPr>
      </w:pPr>
    </w:p>
    <w:p w:rsidR="00954924" w:rsidRPr="00954924" w:rsidRDefault="00954924" w:rsidP="00954924">
      <w:pPr>
        <w:numPr>
          <w:ilvl w:val="0"/>
          <w:numId w:val="1"/>
        </w:numPr>
        <w:spacing w:before="100" w:after="200" w:line="276" w:lineRule="auto"/>
        <w:ind w:left="426" w:hanging="426"/>
        <w:jc w:val="both"/>
        <w:rPr>
          <w:rFonts w:ascii="Arial" w:eastAsia="Times New Roman" w:hAnsi="Arial" w:cs="Arial"/>
          <w:sz w:val="20"/>
          <w:szCs w:val="20"/>
        </w:rPr>
      </w:pPr>
      <w:r w:rsidRPr="00954924">
        <w:rPr>
          <w:rFonts w:ascii="Arial" w:eastAsia="Times New Roman" w:hAnsi="Arial" w:cs="Arial"/>
          <w:b/>
          <w:bCs/>
          <w:sz w:val="20"/>
          <w:szCs w:val="20"/>
        </w:rPr>
        <w:t>w § 4 ust. 1 pkt 1) dodaje się literę j), w pkt 3) dodaje się literę ł) otrzymują brzmienie:</w:t>
      </w:r>
    </w:p>
    <w:p w:rsidR="00954924" w:rsidRPr="00954924" w:rsidRDefault="00954924" w:rsidP="00954924">
      <w:pPr>
        <w:spacing w:before="100" w:after="200" w:line="276" w:lineRule="auto"/>
        <w:ind w:left="426"/>
        <w:jc w:val="both"/>
        <w:rPr>
          <w:rFonts w:ascii="Arial" w:eastAsia="Times New Roman" w:hAnsi="Arial" w:cs="Arial"/>
          <w:sz w:val="20"/>
          <w:szCs w:val="20"/>
        </w:rPr>
      </w:pPr>
      <w:r w:rsidRPr="00954924">
        <w:rPr>
          <w:rFonts w:ascii="Arial" w:eastAsia="Times New Roman" w:hAnsi="Arial" w:cs="Arial"/>
          <w:color w:val="000000"/>
          <w:sz w:val="20"/>
          <w:szCs w:val="20"/>
        </w:rPr>
        <w:t>„Zdiagnozowanie u Ubezpieczonego boreliozy.”</w:t>
      </w:r>
    </w:p>
    <w:p w:rsidR="00954924" w:rsidRPr="00954924" w:rsidRDefault="00954924" w:rsidP="00954924">
      <w:pPr>
        <w:numPr>
          <w:ilvl w:val="0"/>
          <w:numId w:val="1"/>
        </w:numPr>
        <w:spacing w:before="100" w:after="200" w:line="276" w:lineRule="auto"/>
        <w:ind w:left="426" w:hanging="426"/>
        <w:jc w:val="both"/>
        <w:rPr>
          <w:rFonts w:ascii="Arial" w:eastAsia="Times New Roman" w:hAnsi="Arial" w:cs="Arial"/>
          <w:b/>
          <w:sz w:val="20"/>
          <w:szCs w:val="20"/>
        </w:rPr>
      </w:pPr>
      <w:r w:rsidRPr="00954924">
        <w:rPr>
          <w:rFonts w:ascii="Arial" w:eastAsia="Times New Roman" w:hAnsi="Arial" w:cs="Arial"/>
          <w:b/>
          <w:bCs/>
          <w:sz w:val="20"/>
          <w:szCs w:val="20"/>
        </w:rPr>
        <w:lastRenderedPageBreak/>
        <w:t>w § 6 dodaje się pkt 8), w § 9 dodaje się pkt 13) w brzmieniu:</w:t>
      </w:r>
    </w:p>
    <w:p w:rsidR="00954924" w:rsidRPr="00954924" w:rsidRDefault="00954924" w:rsidP="00954924">
      <w:pPr>
        <w:spacing w:before="100" w:after="200" w:line="276" w:lineRule="auto"/>
        <w:ind w:left="426"/>
        <w:jc w:val="both"/>
        <w:rPr>
          <w:rFonts w:ascii="Arial" w:eastAsia="Times New Roman" w:hAnsi="Arial" w:cs="Arial"/>
          <w:color w:val="000000"/>
          <w:sz w:val="20"/>
          <w:szCs w:val="20"/>
        </w:rPr>
      </w:pPr>
      <w:r w:rsidRPr="00954924">
        <w:rPr>
          <w:rFonts w:ascii="Arial" w:eastAsia="Times New Roman" w:hAnsi="Arial" w:cs="Arial"/>
          <w:color w:val="000000"/>
          <w:sz w:val="20"/>
          <w:szCs w:val="20"/>
        </w:rPr>
        <w:t>„w przypadku zdiagnozowania u Ubezpieczonego boreliozy – jednor</w:t>
      </w:r>
      <w:r w:rsidR="00934A70">
        <w:rPr>
          <w:rFonts w:ascii="Arial" w:eastAsia="Times New Roman" w:hAnsi="Arial" w:cs="Arial"/>
          <w:color w:val="000000"/>
          <w:sz w:val="20"/>
          <w:szCs w:val="20"/>
        </w:rPr>
        <w:t>azowe świadczenie w wysokości 5</w:t>
      </w:r>
      <w:r w:rsidRPr="00954924">
        <w:rPr>
          <w:rFonts w:ascii="Arial" w:eastAsia="Times New Roman" w:hAnsi="Arial" w:cs="Arial"/>
          <w:color w:val="000000"/>
          <w:sz w:val="20"/>
          <w:szCs w:val="20"/>
        </w:rPr>
        <w:t>% sumy ubezpieczenia określonej w umowie ubezpieczenia, pod warunkiem, iż borelioza została zdiagnozowana w okresie trwania ochrony ubezpieczeniowej.</w:t>
      </w:r>
    </w:p>
    <w:p w:rsidR="00954924" w:rsidRPr="00954924" w:rsidRDefault="00954924" w:rsidP="00954924">
      <w:pPr>
        <w:numPr>
          <w:ilvl w:val="0"/>
          <w:numId w:val="1"/>
        </w:numPr>
        <w:spacing w:before="100" w:after="0" w:line="240" w:lineRule="auto"/>
        <w:ind w:left="426" w:hanging="426"/>
        <w:contextualSpacing/>
        <w:jc w:val="both"/>
        <w:rPr>
          <w:rFonts w:ascii="Arial" w:eastAsia="Times New Roman" w:hAnsi="Arial" w:cs="Arial"/>
          <w:b/>
          <w:sz w:val="20"/>
          <w:szCs w:val="20"/>
        </w:rPr>
      </w:pPr>
      <w:r w:rsidRPr="00954924">
        <w:rPr>
          <w:rFonts w:ascii="Arial" w:eastAsia="Times New Roman" w:hAnsi="Arial" w:cs="Arial"/>
          <w:b/>
          <w:sz w:val="20"/>
          <w:szCs w:val="20"/>
        </w:rPr>
        <w:t xml:space="preserve"> § 6 pkt 4); §9 pkt 5); otrzymuje brzmienie:</w:t>
      </w:r>
    </w:p>
    <w:p w:rsidR="00954924" w:rsidRPr="00954924" w:rsidRDefault="00954924" w:rsidP="00954924">
      <w:pPr>
        <w:spacing w:before="60" w:after="60" w:line="240" w:lineRule="auto"/>
        <w:ind w:left="720"/>
        <w:contextualSpacing/>
        <w:jc w:val="both"/>
        <w:rPr>
          <w:rFonts w:ascii="Arial" w:eastAsia="Times New Roman" w:hAnsi="Arial" w:cs="Arial"/>
          <w:sz w:val="20"/>
          <w:szCs w:val="20"/>
        </w:rPr>
      </w:pPr>
    </w:p>
    <w:p w:rsidR="00954924" w:rsidRPr="00954924" w:rsidRDefault="00954924" w:rsidP="00954924">
      <w:pPr>
        <w:spacing w:before="60" w:after="60" w:line="240" w:lineRule="auto"/>
        <w:ind w:left="426"/>
        <w:contextualSpacing/>
        <w:jc w:val="both"/>
        <w:rPr>
          <w:rFonts w:ascii="Arial" w:eastAsia="Times New Roman" w:hAnsi="Arial" w:cs="Arial"/>
          <w:sz w:val="20"/>
          <w:szCs w:val="20"/>
        </w:rPr>
      </w:pPr>
      <w:r w:rsidRPr="00954924">
        <w:rPr>
          <w:rFonts w:ascii="Arial" w:eastAsia="Times New Roman" w:hAnsi="Arial" w:cs="Arial"/>
          <w:sz w:val="20"/>
          <w:szCs w:val="20"/>
        </w:rPr>
        <w:t xml:space="preserve">„w przypadku </w:t>
      </w:r>
      <w:r w:rsidRPr="00954924">
        <w:rPr>
          <w:rFonts w:ascii="Arial" w:eastAsia="Times New Roman" w:hAnsi="Arial" w:cs="Arial"/>
          <w:b/>
          <w:sz w:val="20"/>
          <w:szCs w:val="20"/>
        </w:rPr>
        <w:t>zdiagnozowania u Ubezpieczonego sepsy</w:t>
      </w:r>
      <w:r w:rsidRPr="00954924">
        <w:rPr>
          <w:rFonts w:ascii="Arial" w:eastAsia="Times New Roman" w:hAnsi="Arial" w:cs="Arial"/>
          <w:sz w:val="20"/>
          <w:szCs w:val="20"/>
        </w:rPr>
        <w:t xml:space="preserve"> – jednorazowe świadczenie w wysokości 20% sumy ubezpieczenia określonej w umowie ubezpieczenia, pod warunkiem, iż sepsa została zdiagnozowana po raz pierwszy w okresie trwania ochrony ubezpieczeniowej;”</w:t>
      </w:r>
    </w:p>
    <w:p w:rsidR="00954924" w:rsidRPr="00954924" w:rsidRDefault="00954924" w:rsidP="00954924">
      <w:pPr>
        <w:spacing w:before="60" w:after="60" w:line="240" w:lineRule="auto"/>
        <w:ind w:left="426"/>
        <w:contextualSpacing/>
        <w:jc w:val="both"/>
        <w:rPr>
          <w:rFonts w:ascii="Arial" w:eastAsia="Times New Roman" w:hAnsi="Arial" w:cs="Arial"/>
          <w:sz w:val="20"/>
          <w:szCs w:val="20"/>
        </w:rPr>
      </w:pPr>
    </w:p>
    <w:p w:rsidR="00954924" w:rsidRPr="00954924" w:rsidRDefault="00954924" w:rsidP="00954924">
      <w:pPr>
        <w:numPr>
          <w:ilvl w:val="0"/>
          <w:numId w:val="1"/>
        </w:numPr>
        <w:spacing w:before="100" w:after="0" w:line="240" w:lineRule="auto"/>
        <w:ind w:left="426" w:hanging="426"/>
        <w:contextualSpacing/>
        <w:jc w:val="both"/>
        <w:rPr>
          <w:rFonts w:ascii="Arial" w:eastAsia="Times New Roman" w:hAnsi="Arial" w:cs="Arial"/>
          <w:b/>
          <w:bCs/>
          <w:sz w:val="20"/>
          <w:szCs w:val="20"/>
        </w:rPr>
      </w:pPr>
      <w:r w:rsidRPr="00954924">
        <w:rPr>
          <w:rFonts w:ascii="Arial" w:eastAsia="Times New Roman" w:hAnsi="Arial" w:cs="Arial"/>
          <w:b/>
          <w:bCs/>
          <w:sz w:val="20"/>
          <w:szCs w:val="20"/>
        </w:rPr>
        <w:t xml:space="preserve">§ 6 pkt. 6); § 9 pkt. 7)  </w:t>
      </w:r>
      <w:r w:rsidRPr="00954924">
        <w:rPr>
          <w:rFonts w:ascii="Arial" w:eastAsia="Times New Roman" w:hAnsi="Arial" w:cs="Arial"/>
          <w:b/>
          <w:sz w:val="20"/>
          <w:szCs w:val="20"/>
        </w:rPr>
        <w:t>otrzymują brzmienie:</w:t>
      </w:r>
    </w:p>
    <w:p w:rsidR="00954924" w:rsidRPr="00954924" w:rsidRDefault="00954924" w:rsidP="00954924">
      <w:pPr>
        <w:spacing w:before="100" w:after="0" w:line="240" w:lineRule="auto"/>
        <w:ind w:left="360"/>
        <w:rPr>
          <w:rFonts w:ascii="Arial" w:eastAsia="Times New Roman" w:hAnsi="Arial" w:cs="Arial"/>
          <w:sz w:val="20"/>
          <w:szCs w:val="20"/>
          <w:lang w:eastAsia="pl-PL"/>
        </w:rPr>
      </w:pPr>
      <w:r w:rsidRPr="00954924">
        <w:rPr>
          <w:rFonts w:ascii="Arial" w:eastAsia="Times New Roman" w:hAnsi="Arial" w:cs="Arial"/>
          <w:sz w:val="20"/>
          <w:szCs w:val="20"/>
          <w:lang w:eastAsia="pl-PL"/>
        </w:rPr>
        <w:t>„w przypadku pogryzienia przez psa, pokąsania, ukąszenia/użądlenia - jednorazowe świadczenie w wysokości 2% sumy ubezpieczenia określonej w umowie ubezpieczenia, pod warunkiem co najmniej dwudniowego pobytu w szpitalu w wyniku pogryzienia przez psa, pokąsania, ukąszenia/użądlenia.”</w:t>
      </w:r>
    </w:p>
    <w:p w:rsidR="00954924" w:rsidRPr="00954924" w:rsidRDefault="00954924" w:rsidP="00954924">
      <w:pPr>
        <w:spacing w:before="60" w:after="60" w:line="240" w:lineRule="auto"/>
        <w:jc w:val="both"/>
        <w:rPr>
          <w:rFonts w:ascii="Arial" w:eastAsia="Times New Roman" w:hAnsi="Arial" w:cs="Arial"/>
          <w:sz w:val="20"/>
          <w:szCs w:val="20"/>
        </w:rPr>
      </w:pPr>
    </w:p>
    <w:p w:rsidR="00954924" w:rsidRPr="00954924" w:rsidRDefault="00954924" w:rsidP="00954924">
      <w:pPr>
        <w:numPr>
          <w:ilvl w:val="0"/>
          <w:numId w:val="1"/>
        </w:numPr>
        <w:spacing w:before="100" w:after="200" w:line="276" w:lineRule="auto"/>
        <w:ind w:left="426" w:hanging="426"/>
        <w:jc w:val="both"/>
        <w:rPr>
          <w:rFonts w:ascii="Arial" w:eastAsia="Times New Roman" w:hAnsi="Arial" w:cs="Arial"/>
          <w:sz w:val="20"/>
          <w:szCs w:val="20"/>
        </w:rPr>
      </w:pPr>
      <w:r w:rsidRPr="00954924">
        <w:rPr>
          <w:rFonts w:ascii="Arial" w:eastAsia="Times New Roman" w:hAnsi="Arial" w:cs="Arial"/>
          <w:sz w:val="20"/>
          <w:szCs w:val="20"/>
        </w:rPr>
        <w:t xml:space="preserve">w § 4 ust. 1) dodaje się: w pkt. 1 </w:t>
      </w:r>
      <w:proofErr w:type="spellStart"/>
      <w:r w:rsidRPr="00954924">
        <w:rPr>
          <w:rFonts w:ascii="Arial" w:eastAsia="Times New Roman" w:hAnsi="Arial" w:cs="Arial"/>
          <w:sz w:val="20"/>
          <w:szCs w:val="20"/>
        </w:rPr>
        <w:t>lit.k</w:t>
      </w:r>
      <w:proofErr w:type="spellEnd"/>
      <w:r w:rsidRPr="00954924">
        <w:rPr>
          <w:rFonts w:ascii="Arial" w:eastAsia="Times New Roman" w:hAnsi="Arial" w:cs="Arial"/>
          <w:sz w:val="20"/>
          <w:szCs w:val="20"/>
        </w:rPr>
        <w:t xml:space="preserve">), </w:t>
      </w:r>
      <w:r w:rsidRPr="00954924">
        <w:rPr>
          <w:rFonts w:ascii="Arial" w:eastAsia="Times New Roman" w:hAnsi="Arial" w:cs="Arial"/>
          <w:b/>
          <w:bCs/>
          <w:sz w:val="20"/>
          <w:szCs w:val="20"/>
        </w:rPr>
        <w:t>w pkt 3) dodaje się literę m) otrzymują brzmienie:</w:t>
      </w:r>
    </w:p>
    <w:p w:rsidR="00954924" w:rsidRPr="00954924" w:rsidRDefault="00954924" w:rsidP="00954924">
      <w:pPr>
        <w:spacing w:before="60" w:after="60" w:line="240" w:lineRule="auto"/>
        <w:ind w:firstLine="360"/>
        <w:jc w:val="both"/>
        <w:rPr>
          <w:rFonts w:ascii="Arial" w:eastAsia="Times New Roman" w:hAnsi="Arial" w:cs="Arial"/>
          <w:sz w:val="20"/>
          <w:szCs w:val="20"/>
        </w:rPr>
      </w:pPr>
      <w:r w:rsidRPr="00954924">
        <w:rPr>
          <w:rFonts w:ascii="Arial" w:eastAsia="Times New Roman" w:hAnsi="Arial" w:cs="Arial"/>
          <w:sz w:val="20"/>
          <w:szCs w:val="20"/>
        </w:rPr>
        <w:t>„nagłe zatrucie pokarmowe, gazami, bądź porażenie prądem lub piorunem”</w:t>
      </w:r>
    </w:p>
    <w:p w:rsidR="00954924" w:rsidRPr="00954924" w:rsidRDefault="00954924" w:rsidP="00954924">
      <w:pPr>
        <w:spacing w:before="100" w:after="0" w:line="240" w:lineRule="auto"/>
        <w:ind w:left="851"/>
        <w:contextualSpacing/>
        <w:rPr>
          <w:rFonts w:ascii="Arial" w:eastAsia="Times New Roman" w:hAnsi="Arial" w:cs="Arial"/>
          <w:sz w:val="20"/>
          <w:szCs w:val="20"/>
        </w:rPr>
      </w:pPr>
    </w:p>
    <w:p w:rsidR="00954924" w:rsidRPr="00954924" w:rsidRDefault="00954924" w:rsidP="00954924">
      <w:pPr>
        <w:numPr>
          <w:ilvl w:val="0"/>
          <w:numId w:val="1"/>
        </w:numPr>
        <w:spacing w:before="100" w:after="0" w:line="240" w:lineRule="auto"/>
        <w:ind w:left="426" w:hanging="426"/>
        <w:contextualSpacing/>
        <w:rPr>
          <w:rFonts w:ascii="Arial" w:eastAsia="Times New Roman" w:hAnsi="Arial" w:cs="Arial"/>
          <w:b/>
          <w:sz w:val="20"/>
          <w:szCs w:val="20"/>
        </w:rPr>
      </w:pPr>
      <w:r w:rsidRPr="00954924">
        <w:rPr>
          <w:rFonts w:ascii="Arial" w:eastAsia="Times New Roman" w:hAnsi="Arial" w:cs="Arial"/>
          <w:b/>
          <w:sz w:val="20"/>
          <w:szCs w:val="20"/>
        </w:rPr>
        <w:t>w §6  dodaje się pkt. 9), w §9 dodaje się pkt. 14) w brzmieniu:</w:t>
      </w:r>
    </w:p>
    <w:p w:rsidR="00954924" w:rsidRPr="00954924" w:rsidRDefault="00954924" w:rsidP="00954924">
      <w:pPr>
        <w:spacing w:before="60" w:after="60" w:line="240" w:lineRule="auto"/>
        <w:ind w:left="360"/>
        <w:jc w:val="both"/>
        <w:rPr>
          <w:rFonts w:ascii="Arial" w:eastAsia="Times New Roman" w:hAnsi="Arial" w:cs="Arial"/>
          <w:sz w:val="20"/>
          <w:szCs w:val="20"/>
        </w:rPr>
      </w:pPr>
      <w:r w:rsidRPr="00954924">
        <w:rPr>
          <w:rFonts w:ascii="Arial" w:eastAsia="Times New Roman" w:hAnsi="Arial" w:cs="Arial"/>
          <w:sz w:val="20"/>
          <w:szCs w:val="20"/>
        </w:rPr>
        <w:t>„w przypadku zatrucia pokarmowego,  nagłego zatrucia gazami, bądź w przypadku porażenia prądem lub piorunem – jeżeli w wyniku nagłego zatrucia pokarmowego, gazami, bądź w przypadku porażenia prądem lub piorunem, w następstwie którego nastąpił co najmniej trzydniowy pobyt Ubezpieczonego w szpitalu – przys</w:t>
      </w:r>
      <w:r w:rsidR="00253A61">
        <w:rPr>
          <w:rFonts w:ascii="Arial" w:eastAsia="Times New Roman" w:hAnsi="Arial" w:cs="Arial"/>
          <w:sz w:val="20"/>
          <w:szCs w:val="20"/>
        </w:rPr>
        <w:t>ługuje świadczenie w wysokości 2</w:t>
      </w:r>
      <w:r w:rsidRPr="00954924">
        <w:rPr>
          <w:rFonts w:ascii="Arial" w:eastAsia="Times New Roman" w:hAnsi="Arial" w:cs="Arial"/>
          <w:sz w:val="20"/>
          <w:szCs w:val="20"/>
        </w:rPr>
        <w:t>% sumy ubezpieczenia określonej w umowie ubezpieczenia;</w:t>
      </w:r>
    </w:p>
    <w:p w:rsidR="00954924" w:rsidRPr="00954924" w:rsidRDefault="00954924" w:rsidP="00954924">
      <w:pPr>
        <w:spacing w:before="100" w:after="200" w:line="276" w:lineRule="auto"/>
        <w:ind w:left="720"/>
        <w:contextualSpacing/>
        <w:jc w:val="both"/>
        <w:rPr>
          <w:rFonts w:ascii="Arial" w:eastAsia="Times New Roman" w:hAnsi="Arial" w:cs="Arial"/>
          <w:color w:val="000000"/>
          <w:sz w:val="20"/>
          <w:szCs w:val="20"/>
        </w:rPr>
      </w:pPr>
    </w:p>
    <w:p w:rsidR="00954924" w:rsidRPr="00954924" w:rsidRDefault="00954924" w:rsidP="00954924">
      <w:pPr>
        <w:numPr>
          <w:ilvl w:val="0"/>
          <w:numId w:val="1"/>
        </w:numPr>
        <w:spacing w:before="100" w:after="0" w:line="240" w:lineRule="auto"/>
        <w:ind w:left="426" w:hanging="426"/>
        <w:contextualSpacing/>
        <w:jc w:val="both"/>
        <w:rPr>
          <w:rFonts w:ascii="Arial" w:eastAsia="Times New Roman" w:hAnsi="Arial" w:cs="Arial"/>
          <w:b/>
          <w:sz w:val="20"/>
          <w:szCs w:val="20"/>
        </w:rPr>
      </w:pPr>
      <w:r w:rsidRPr="00954924">
        <w:rPr>
          <w:rFonts w:ascii="Arial" w:eastAsia="Times New Roman" w:hAnsi="Arial" w:cs="Arial"/>
          <w:b/>
          <w:sz w:val="20"/>
          <w:szCs w:val="20"/>
        </w:rPr>
        <w:t>§ 4 ust. 1 pkt 1 lit b);  § 4 ust. 1 pkt 3 lit b) otrzymuje brzmienie:</w:t>
      </w:r>
    </w:p>
    <w:p w:rsidR="00954924" w:rsidRPr="00954924" w:rsidRDefault="00954924" w:rsidP="00954924">
      <w:pPr>
        <w:spacing w:before="100" w:after="0" w:line="240" w:lineRule="auto"/>
        <w:ind w:left="426"/>
        <w:rPr>
          <w:rFonts w:ascii="Arial" w:eastAsia="Times New Roman" w:hAnsi="Arial" w:cs="Arial"/>
          <w:sz w:val="20"/>
          <w:szCs w:val="20"/>
        </w:rPr>
      </w:pPr>
      <w:r w:rsidRPr="00954924">
        <w:rPr>
          <w:rFonts w:ascii="Arial" w:eastAsia="Times New Roman" w:hAnsi="Arial" w:cs="Arial"/>
          <w:bCs/>
          <w:sz w:val="20"/>
          <w:szCs w:val="20"/>
        </w:rPr>
        <w:t xml:space="preserve">„b) koszty nabycia wyrobów medycznych wydawanych na zlecenie, w tym również </w:t>
      </w:r>
      <w:r w:rsidRPr="00954924">
        <w:rPr>
          <w:rFonts w:ascii="Arial" w:eastAsia="Times New Roman" w:hAnsi="Arial" w:cs="Arial"/>
          <w:sz w:val="20"/>
          <w:szCs w:val="20"/>
        </w:rPr>
        <w:t>zwrot kosztu zakupu lub naprawy okularów korekcyjnych lub aparatu słuchowego uszkodzonych podczas wypadku w czasie zajęć lekcyjnych”</w:t>
      </w:r>
    </w:p>
    <w:p w:rsidR="00954924" w:rsidRPr="00954924" w:rsidRDefault="00954924" w:rsidP="00954924">
      <w:pPr>
        <w:spacing w:before="100" w:after="200" w:line="276" w:lineRule="auto"/>
        <w:ind w:left="1134"/>
        <w:contextualSpacing/>
        <w:rPr>
          <w:rFonts w:ascii="Arial" w:eastAsia="Times New Roman" w:hAnsi="Arial" w:cs="Arial"/>
          <w:bCs/>
          <w:color w:val="000000"/>
          <w:sz w:val="20"/>
          <w:szCs w:val="20"/>
        </w:rPr>
      </w:pPr>
    </w:p>
    <w:p w:rsidR="00954924" w:rsidRPr="00954924" w:rsidRDefault="00954924" w:rsidP="00954924">
      <w:pPr>
        <w:numPr>
          <w:ilvl w:val="0"/>
          <w:numId w:val="1"/>
        </w:numPr>
        <w:spacing w:before="100" w:after="0" w:line="240" w:lineRule="auto"/>
        <w:ind w:left="426" w:hanging="426"/>
        <w:contextualSpacing/>
        <w:jc w:val="both"/>
        <w:rPr>
          <w:rFonts w:ascii="Arial" w:eastAsia="Times New Roman" w:hAnsi="Arial" w:cs="Arial"/>
          <w:bCs/>
          <w:sz w:val="20"/>
          <w:szCs w:val="20"/>
        </w:rPr>
      </w:pPr>
      <w:r w:rsidRPr="00954924">
        <w:rPr>
          <w:rFonts w:ascii="Arial" w:eastAsia="Times New Roman" w:hAnsi="Arial" w:cs="Arial"/>
          <w:b/>
          <w:bCs/>
          <w:sz w:val="20"/>
          <w:szCs w:val="20"/>
        </w:rPr>
        <w:t xml:space="preserve">§ 6 pkt. 1) lit. c); § 9 pkt. 2) </w:t>
      </w:r>
      <w:r w:rsidRPr="00954924">
        <w:rPr>
          <w:rFonts w:ascii="Arial" w:eastAsia="Times New Roman" w:hAnsi="Arial" w:cs="Arial"/>
          <w:b/>
          <w:sz w:val="20"/>
          <w:szCs w:val="20"/>
        </w:rPr>
        <w:t>otrzymują brzmienie</w:t>
      </w:r>
      <w:r w:rsidRPr="00954924">
        <w:rPr>
          <w:rFonts w:ascii="Arial" w:eastAsia="Times New Roman" w:hAnsi="Arial" w:cs="Arial"/>
          <w:sz w:val="20"/>
          <w:szCs w:val="20"/>
        </w:rPr>
        <w:t>:</w:t>
      </w:r>
    </w:p>
    <w:p w:rsidR="00954924" w:rsidRPr="00954924" w:rsidRDefault="00954924" w:rsidP="00954924">
      <w:pPr>
        <w:spacing w:before="100" w:after="0" w:line="240" w:lineRule="auto"/>
        <w:ind w:left="426"/>
        <w:rPr>
          <w:rFonts w:ascii="Arial" w:eastAsia="Times New Roman" w:hAnsi="Arial" w:cs="Arial"/>
          <w:sz w:val="20"/>
          <w:szCs w:val="20"/>
          <w:lang w:eastAsia="pl-PL"/>
        </w:rPr>
      </w:pPr>
      <w:r w:rsidRPr="00954924">
        <w:rPr>
          <w:rFonts w:ascii="Arial" w:eastAsia="Times New Roman" w:hAnsi="Arial" w:cs="Arial"/>
          <w:sz w:val="20"/>
          <w:szCs w:val="20"/>
          <w:lang w:eastAsia="pl-PL"/>
        </w:rPr>
        <w:t>„koszty nabycia wyrobów medycznych wydawanych na zlecenie</w:t>
      </w:r>
      <w:r w:rsidRPr="00954924">
        <w:rPr>
          <w:rFonts w:ascii="Arial" w:eastAsia="Times New Roman" w:hAnsi="Arial" w:cs="Arial"/>
          <w:bCs/>
          <w:sz w:val="20"/>
          <w:szCs w:val="20"/>
        </w:rPr>
        <w:t xml:space="preserve">, w tym również </w:t>
      </w:r>
      <w:r w:rsidRPr="00954924">
        <w:rPr>
          <w:rFonts w:ascii="Arial" w:eastAsia="Times New Roman" w:hAnsi="Arial" w:cs="Arial"/>
          <w:sz w:val="20"/>
          <w:szCs w:val="20"/>
        </w:rPr>
        <w:t xml:space="preserve">zwrot kosztu zakupu lub naprawy okularów korekcyjnych lub aparatu słuchowego uszkodzonych podczas wypadku w czasie zajęć lekcyjnych </w:t>
      </w:r>
      <w:r w:rsidRPr="00954924">
        <w:rPr>
          <w:rFonts w:ascii="Arial" w:eastAsia="Times New Roman" w:hAnsi="Arial" w:cs="Arial"/>
          <w:sz w:val="20"/>
          <w:szCs w:val="20"/>
          <w:lang w:eastAsia="pl-PL"/>
        </w:rPr>
        <w:t>- zwrot udokumentowanych kosztów do wysokości 30% sumy ubezpieczenia określonej w umowie ubezpieczenia, pod warunkiem iż:</w:t>
      </w:r>
    </w:p>
    <w:p w:rsidR="00954924" w:rsidRPr="00954924" w:rsidRDefault="00954924" w:rsidP="00954924">
      <w:pPr>
        <w:spacing w:before="100" w:after="0" w:line="240" w:lineRule="auto"/>
        <w:ind w:left="426"/>
        <w:rPr>
          <w:rFonts w:ascii="Arial" w:eastAsia="Times New Roman" w:hAnsi="Arial" w:cs="Arial"/>
          <w:sz w:val="20"/>
          <w:szCs w:val="20"/>
          <w:lang w:eastAsia="pl-PL"/>
        </w:rPr>
      </w:pPr>
      <w:r w:rsidRPr="00954924">
        <w:rPr>
          <w:rFonts w:ascii="Arial" w:eastAsia="Times New Roman" w:hAnsi="Arial" w:cs="Arial"/>
          <w:sz w:val="20"/>
          <w:szCs w:val="20"/>
          <w:lang w:eastAsia="pl-PL"/>
        </w:rPr>
        <w:t>- są niezbędne z medycznego punktu widzenia i udokumentowane kopią zlecenia lekarskiego na zaopatrzenie w wyroby  medyczne będące przedmiotami ortopedycznymi oraz środki pomocnicze,</w:t>
      </w:r>
    </w:p>
    <w:p w:rsidR="00954924" w:rsidRPr="00954924" w:rsidRDefault="00954924" w:rsidP="00954924">
      <w:pPr>
        <w:spacing w:before="100" w:after="0" w:line="240" w:lineRule="auto"/>
        <w:ind w:left="426"/>
        <w:rPr>
          <w:rFonts w:ascii="Arial" w:eastAsia="Times New Roman" w:hAnsi="Arial" w:cs="Arial"/>
          <w:sz w:val="20"/>
          <w:szCs w:val="20"/>
          <w:lang w:eastAsia="pl-PL"/>
        </w:rPr>
      </w:pPr>
      <w:r w:rsidRPr="00954924">
        <w:rPr>
          <w:rFonts w:ascii="Arial" w:eastAsia="Times New Roman" w:hAnsi="Arial" w:cs="Arial"/>
          <w:sz w:val="20"/>
          <w:szCs w:val="20"/>
          <w:lang w:eastAsia="pl-PL"/>
        </w:rPr>
        <w:t>- zostały poniesione na terytorium Rzeczpospolitej Polskiej w okresie nie dłuższym niż dwa lata od daty nieszczęśliwego wypadku,</w:t>
      </w:r>
    </w:p>
    <w:p w:rsidR="00954924" w:rsidRPr="00954924" w:rsidRDefault="00954924" w:rsidP="00954924">
      <w:pPr>
        <w:spacing w:before="100" w:after="0" w:line="240" w:lineRule="auto"/>
        <w:ind w:left="426"/>
        <w:rPr>
          <w:rFonts w:ascii="Arial" w:eastAsia="Times New Roman" w:hAnsi="Arial" w:cs="Arial"/>
          <w:sz w:val="20"/>
          <w:szCs w:val="20"/>
          <w:lang w:eastAsia="pl-PL"/>
        </w:rPr>
      </w:pPr>
      <w:r w:rsidRPr="00954924">
        <w:rPr>
          <w:rFonts w:ascii="Arial" w:eastAsia="Times New Roman" w:hAnsi="Arial" w:cs="Arial"/>
          <w:sz w:val="20"/>
          <w:szCs w:val="20"/>
          <w:lang w:eastAsia="pl-PL"/>
        </w:rPr>
        <w:t>- zwrot kosztów zakupu lub naprawy okularów korekcyjnych lub aparatu słuchowego uszkodzonych podczas nieszczęśliwego wypadku, który miał miejsce podczas  zajęć lekcyjnych. Zwrot kosztów  zakupu lub naprawy okularów korekcyjnych lub aparatu słuchowego uszkodzonych przysługuje do wysokości 200 zł.”</w:t>
      </w:r>
    </w:p>
    <w:p w:rsidR="00954924" w:rsidRPr="00954924" w:rsidRDefault="00954924" w:rsidP="00954924">
      <w:pPr>
        <w:spacing w:before="100" w:after="0" w:line="240" w:lineRule="auto"/>
        <w:ind w:left="426"/>
        <w:rPr>
          <w:rFonts w:ascii="Arial" w:eastAsia="Times New Roman" w:hAnsi="Arial" w:cs="Arial"/>
          <w:sz w:val="20"/>
          <w:szCs w:val="20"/>
          <w:lang w:eastAsia="pl-PL"/>
        </w:rPr>
      </w:pPr>
    </w:p>
    <w:p w:rsidR="00954924" w:rsidRPr="00954924" w:rsidRDefault="00954924" w:rsidP="00954924">
      <w:pPr>
        <w:numPr>
          <w:ilvl w:val="0"/>
          <w:numId w:val="1"/>
        </w:numPr>
        <w:spacing w:before="100" w:after="200" w:line="276" w:lineRule="auto"/>
        <w:ind w:left="426" w:hanging="426"/>
        <w:jc w:val="both"/>
        <w:rPr>
          <w:rFonts w:ascii="Arial" w:eastAsia="Times New Roman" w:hAnsi="Arial" w:cs="Arial"/>
          <w:b/>
          <w:sz w:val="20"/>
          <w:szCs w:val="20"/>
        </w:rPr>
      </w:pPr>
      <w:r w:rsidRPr="00954924">
        <w:rPr>
          <w:rFonts w:ascii="Arial" w:eastAsia="Times New Roman" w:hAnsi="Arial" w:cs="Arial"/>
          <w:color w:val="000000"/>
          <w:sz w:val="20"/>
          <w:szCs w:val="20"/>
        </w:rPr>
        <w:t xml:space="preserve"> </w:t>
      </w:r>
      <w:bookmarkStart w:id="1" w:name="_Hlk514067301"/>
      <w:r w:rsidRPr="00954924">
        <w:rPr>
          <w:rFonts w:ascii="Arial" w:eastAsia="Times New Roman" w:hAnsi="Arial" w:cs="Arial"/>
          <w:b/>
          <w:sz w:val="20"/>
          <w:szCs w:val="20"/>
        </w:rPr>
        <w:t xml:space="preserve">w § 4 ust. 1) dodaje się: w pkt. 1 </w:t>
      </w:r>
      <w:proofErr w:type="spellStart"/>
      <w:r w:rsidRPr="00954924">
        <w:rPr>
          <w:rFonts w:ascii="Arial" w:eastAsia="Times New Roman" w:hAnsi="Arial" w:cs="Arial"/>
          <w:b/>
          <w:sz w:val="20"/>
          <w:szCs w:val="20"/>
        </w:rPr>
        <w:t>lit.l</w:t>
      </w:r>
      <w:proofErr w:type="spellEnd"/>
      <w:r w:rsidRPr="00954924">
        <w:rPr>
          <w:rFonts w:ascii="Arial" w:eastAsia="Times New Roman" w:hAnsi="Arial" w:cs="Arial"/>
          <w:b/>
          <w:sz w:val="20"/>
          <w:szCs w:val="20"/>
        </w:rPr>
        <w:t xml:space="preserve">), </w:t>
      </w:r>
      <w:r w:rsidRPr="00954924">
        <w:rPr>
          <w:rFonts w:ascii="Arial" w:eastAsia="Times New Roman" w:hAnsi="Arial" w:cs="Arial"/>
          <w:b/>
          <w:bCs/>
          <w:sz w:val="20"/>
          <w:szCs w:val="20"/>
        </w:rPr>
        <w:t>w pkt 3) dodaje się literę n) otrzymują brzmienie:</w:t>
      </w:r>
    </w:p>
    <w:p w:rsidR="00954924" w:rsidRPr="00954924" w:rsidRDefault="00954924" w:rsidP="00954924">
      <w:pPr>
        <w:spacing w:before="100" w:after="0" w:line="240" w:lineRule="auto"/>
        <w:ind w:left="851"/>
        <w:contextualSpacing/>
        <w:rPr>
          <w:rFonts w:ascii="Arial" w:eastAsia="Times New Roman" w:hAnsi="Arial" w:cs="Arial"/>
          <w:sz w:val="20"/>
          <w:szCs w:val="20"/>
        </w:rPr>
      </w:pPr>
      <w:r w:rsidRPr="00954924">
        <w:rPr>
          <w:rFonts w:ascii="Arial" w:eastAsia="Times New Roman" w:hAnsi="Arial" w:cs="Arial"/>
          <w:sz w:val="20"/>
          <w:szCs w:val="20"/>
        </w:rPr>
        <w:t>„śmierć ubezpieczonego w wyniku NW na terenie placówki oświatowej.”</w:t>
      </w:r>
    </w:p>
    <w:p w:rsidR="00954924" w:rsidRPr="00954924" w:rsidRDefault="00954924" w:rsidP="00954924">
      <w:pPr>
        <w:spacing w:before="100" w:after="0" w:line="240" w:lineRule="auto"/>
        <w:rPr>
          <w:rFonts w:ascii="Arial" w:eastAsia="Times New Roman" w:hAnsi="Arial" w:cs="Arial"/>
          <w:sz w:val="20"/>
          <w:szCs w:val="20"/>
        </w:rPr>
      </w:pPr>
    </w:p>
    <w:p w:rsidR="00954924" w:rsidRPr="00954924" w:rsidRDefault="00954924" w:rsidP="00954924">
      <w:pPr>
        <w:numPr>
          <w:ilvl w:val="0"/>
          <w:numId w:val="1"/>
        </w:numPr>
        <w:spacing w:before="100" w:after="0" w:line="240" w:lineRule="auto"/>
        <w:ind w:left="426" w:hanging="426"/>
        <w:contextualSpacing/>
        <w:rPr>
          <w:rFonts w:ascii="Arial" w:eastAsia="Times New Roman" w:hAnsi="Arial" w:cs="Arial"/>
          <w:b/>
          <w:sz w:val="20"/>
          <w:szCs w:val="20"/>
        </w:rPr>
      </w:pPr>
      <w:r w:rsidRPr="00954924">
        <w:rPr>
          <w:rFonts w:ascii="Arial" w:eastAsia="Times New Roman" w:hAnsi="Arial" w:cs="Arial"/>
          <w:b/>
          <w:sz w:val="20"/>
          <w:szCs w:val="20"/>
        </w:rPr>
        <w:t>w §6  dodaje się pkt. 10), w §9 dodaje się pkt. 15) w brzmieniu:</w:t>
      </w:r>
    </w:p>
    <w:p w:rsidR="00954924" w:rsidRPr="00954924" w:rsidRDefault="00954924" w:rsidP="00954924">
      <w:pPr>
        <w:spacing w:before="100" w:after="0" w:line="240" w:lineRule="auto"/>
        <w:ind w:left="720"/>
        <w:contextualSpacing/>
        <w:jc w:val="both"/>
        <w:rPr>
          <w:rFonts w:ascii="Arial" w:eastAsia="Times New Roman" w:hAnsi="Arial" w:cs="Arial"/>
          <w:bCs/>
          <w:color w:val="000000"/>
          <w:sz w:val="20"/>
          <w:szCs w:val="20"/>
        </w:rPr>
      </w:pPr>
      <w:r w:rsidRPr="00954924">
        <w:rPr>
          <w:rFonts w:ascii="Arial" w:eastAsia="Times New Roman" w:hAnsi="Arial" w:cs="Arial"/>
          <w:sz w:val="20"/>
          <w:szCs w:val="20"/>
        </w:rPr>
        <w:lastRenderedPageBreak/>
        <w:t xml:space="preserve"> „</w:t>
      </w:r>
      <w:r w:rsidRPr="00954924">
        <w:rPr>
          <w:rFonts w:ascii="Arial" w:eastAsia="Times New Roman" w:hAnsi="Arial" w:cs="Arial"/>
          <w:color w:val="000000"/>
          <w:sz w:val="20"/>
          <w:szCs w:val="20"/>
        </w:rPr>
        <w:t xml:space="preserve">w przypadku śmierci Ubezpieczonego w wyniku nieszczęśliwego wypadku, który wydarzył się na terenie placówki oświatowej i w następstwie którego  nastąpiła śmierć Ubezpieczonego – świadczenie dodatkowe w wysokości 50% sumy ubezpieczenia określonej w umowie ubezpieczenia, </w:t>
      </w:r>
      <w:r w:rsidRPr="00954924">
        <w:rPr>
          <w:rFonts w:ascii="Arial" w:eastAsia="Times New Roman" w:hAnsi="Arial" w:cs="Arial"/>
          <w:bCs/>
          <w:color w:val="000000"/>
          <w:sz w:val="20"/>
          <w:szCs w:val="20"/>
        </w:rPr>
        <w:t xml:space="preserve"> pod warunkiem, iż:</w:t>
      </w:r>
    </w:p>
    <w:bookmarkEnd w:id="1"/>
    <w:p w:rsidR="00954924" w:rsidRPr="00954924" w:rsidRDefault="00954924" w:rsidP="00954924">
      <w:pPr>
        <w:numPr>
          <w:ilvl w:val="0"/>
          <w:numId w:val="3"/>
        </w:numPr>
        <w:spacing w:before="100" w:after="0" w:line="240" w:lineRule="auto"/>
        <w:ind w:left="1134"/>
        <w:jc w:val="both"/>
        <w:rPr>
          <w:rFonts w:ascii="Arial" w:eastAsia="Times New Roman" w:hAnsi="Arial" w:cs="Arial"/>
          <w:color w:val="000000"/>
          <w:sz w:val="20"/>
          <w:szCs w:val="20"/>
        </w:rPr>
      </w:pPr>
      <w:r w:rsidRPr="00954924">
        <w:rPr>
          <w:rFonts w:ascii="Arial" w:eastAsia="Times New Roman" w:hAnsi="Arial" w:cs="Arial"/>
          <w:color w:val="000000"/>
          <w:sz w:val="20"/>
          <w:szCs w:val="20"/>
        </w:rPr>
        <w:t>nieszczęśliwy wypadek wydarzył się na terenie placówki oświatowej, której ubezpieczony jest podopiecznym lub pracownikiem i podczas trwania ochrony ubezpieczeniowej,</w:t>
      </w:r>
    </w:p>
    <w:p w:rsidR="00954924" w:rsidRPr="00954924" w:rsidRDefault="00954924" w:rsidP="00954924">
      <w:pPr>
        <w:numPr>
          <w:ilvl w:val="0"/>
          <w:numId w:val="3"/>
        </w:numPr>
        <w:spacing w:before="100" w:after="0" w:line="240" w:lineRule="auto"/>
        <w:ind w:left="1134"/>
        <w:jc w:val="both"/>
        <w:rPr>
          <w:rFonts w:ascii="Arial" w:eastAsia="Times New Roman" w:hAnsi="Arial" w:cs="Arial"/>
          <w:color w:val="000000"/>
          <w:sz w:val="20"/>
          <w:szCs w:val="20"/>
        </w:rPr>
      </w:pPr>
      <w:r w:rsidRPr="00954924">
        <w:rPr>
          <w:rFonts w:ascii="Arial" w:eastAsia="Times New Roman" w:hAnsi="Arial" w:cs="Arial"/>
          <w:color w:val="000000"/>
          <w:sz w:val="20"/>
          <w:szCs w:val="20"/>
        </w:rPr>
        <w:t>śmierć nastąpiła w ciągu sześciu miesięcy od daty nieszczęśliwego wypadku,</w:t>
      </w:r>
    </w:p>
    <w:p w:rsidR="00954924" w:rsidRPr="00954924" w:rsidRDefault="00954924" w:rsidP="00954924">
      <w:pPr>
        <w:numPr>
          <w:ilvl w:val="0"/>
          <w:numId w:val="3"/>
        </w:numPr>
        <w:spacing w:before="100" w:after="0" w:line="240" w:lineRule="auto"/>
        <w:ind w:left="1134"/>
        <w:jc w:val="both"/>
        <w:rPr>
          <w:rFonts w:ascii="Arial" w:eastAsia="Times New Roman" w:hAnsi="Arial" w:cs="Arial"/>
          <w:color w:val="000000"/>
          <w:sz w:val="20"/>
          <w:szCs w:val="20"/>
        </w:rPr>
      </w:pPr>
      <w:r w:rsidRPr="00954924">
        <w:rPr>
          <w:rFonts w:ascii="Arial" w:eastAsia="Times New Roman" w:hAnsi="Arial" w:cs="Arial"/>
          <w:color w:val="000000"/>
          <w:sz w:val="20"/>
          <w:szCs w:val="20"/>
        </w:rPr>
        <w:t>zajście nieszczęśliwego wypadku zostało udokumentowane zaświadczeniem dyrektora placówki oświatowej.”</w:t>
      </w:r>
    </w:p>
    <w:p w:rsidR="00954924" w:rsidRPr="00954924" w:rsidRDefault="00954924" w:rsidP="00954924">
      <w:pPr>
        <w:spacing w:before="100" w:after="0" w:line="240" w:lineRule="auto"/>
        <w:ind w:left="720"/>
        <w:contextualSpacing/>
        <w:rPr>
          <w:rFonts w:ascii="Arial" w:eastAsia="Times New Roman" w:hAnsi="Arial" w:cs="Arial"/>
          <w:color w:val="000000"/>
          <w:sz w:val="20"/>
          <w:szCs w:val="20"/>
        </w:rPr>
      </w:pPr>
    </w:p>
    <w:p w:rsidR="00954924" w:rsidRPr="00954924" w:rsidRDefault="00954924" w:rsidP="00954924">
      <w:pPr>
        <w:spacing w:before="100" w:after="0" w:line="240" w:lineRule="auto"/>
        <w:ind w:left="720"/>
        <w:contextualSpacing/>
        <w:rPr>
          <w:rFonts w:ascii="Arial" w:eastAsia="Times New Roman" w:hAnsi="Arial" w:cs="Arial"/>
          <w:color w:val="000000"/>
          <w:sz w:val="20"/>
          <w:szCs w:val="20"/>
        </w:rPr>
      </w:pPr>
    </w:p>
    <w:p w:rsidR="00954924" w:rsidRPr="00954924" w:rsidRDefault="00954924" w:rsidP="00954924">
      <w:pPr>
        <w:numPr>
          <w:ilvl w:val="0"/>
          <w:numId w:val="1"/>
        </w:numPr>
        <w:spacing w:before="100" w:after="0" w:line="240" w:lineRule="auto"/>
        <w:contextualSpacing/>
        <w:rPr>
          <w:rFonts w:ascii="Arial" w:eastAsia="Times New Roman" w:hAnsi="Arial" w:cs="Arial"/>
          <w:b/>
          <w:color w:val="000000"/>
          <w:sz w:val="20"/>
          <w:szCs w:val="20"/>
        </w:rPr>
      </w:pPr>
      <w:r w:rsidRPr="00954924">
        <w:rPr>
          <w:rFonts w:ascii="Arial" w:eastAsia="Times New Roman" w:hAnsi="Arial" w:cs="Arial"/>
          <w:b/>
          <w:color w:val="000000"/>
          <w:sz w:val="20"/>
          <w:szCs w:val="20"/>
        </w:rPr>
        <w:t>w § 13 ust. 8 otrzymuje brzmienie:</w:t>
      </w:r>
    </w:p>
    <w:p w:rsidR="00954924" w:rsidRPr="00954924" w:rsidRDefault="00954924" w:rsidP="00954924">
      <w:pPr>
        <w:spacing w:before="100" w:after="0" w:line="240" w:lineRule="auto"/>
        <w:ind w:left="709"/>
        <w:rPr>
          <w:rFonts w:ascii="Arial" w:eastAsia="Times New Roman" w:hAnsi="Arial" w:cs="Arial"/>
          <w:color w:val="000000"/>
          <w:sz w:val="20"/>
          <w:szCs w:val="20"/>
        </w:rPr>
      </w:pPr>
      <w:r w:rsidRPr="00954924">
        <w:rPr>
          <w:rFonts w:ascii="Arial" w:eastAsia="Times New Roman" w:hAnsi="Arial" w:cs="Arial"/>
          <w:color w:val="000000"/>
          <w:sz w:val="20"/>
          <w:szCs w:val="20"/>
        </w:rPr>
        <w:t>„Górną granicą odpowiedzialności InterRisk jest kwota stanowiąca:</w:t>
      </w:r>
    </w:p>
    <w:p w:rsidR="00954924" w:rsidRPr="00954924" w:rsidRDefault="00954924" w:rsidP="00954924">
      <w:pPr>
        <w:numPr>
          <w:ilvl w:val="0"/>
          <w:numId w:val="4"/>
        </w:numPr>
        <w:spacing w:before="100" w:after="0" w:line="240" w:lineRule="auto"/>
        <w:ind w:left="1134"/>
        <w:contextualSpacing/>
        <w:jc w:val="both"/>
        <w:rPr>
          <w:rFonts w:ascii="Arial" w:eastAsia="Times New Roman" w:hAnsi="Arial" w:cs="Arial"/>
          <w:color w:val="000000"/>
          <w:sz w:val="20"/>
          <w:szCs w:val="20"/>
        </w:rPr>
      </w:pPr>
      <w:r w:rsidRPr="00954924">
        <w:rPr>
          <w:rFonts w:ascii="Arial" w:eastAsia="Times New Roman" w:hAnsi="Arial" w:cs="Arial"/>
          <w:color w:val="000000"/>
          <w:sz w:val="20"/>
          <w:szCs w:val="20"/>
        </w:rPr>
        <w:t>w przypadku Opcji Podstawowej, Opcji Ochrona Plus, Opcji Dodatkowych (D1-D19) - 100% sumy ubezpieczenia określonej w umowie ubezpieczenia dla w/w Opcji z zastrzeżeniem pkt 2,</w:t>
      </w:r>
    </w:p>
    <w:p w:rsidR="00954924" w:rsidRPr="00954924" w:rsidRDefault="00954924" w:rsidP="00954924">
      <w:pPr>
        <w:numPr>
          <w:ilvl w:val="0"/>
          <w:numId w:val="4"/>
        </w:numPr>
        <w:spacing w:before="100" w:after="0" w:line="240" w:lineRule="auto"/>
        <w:ind w:left="1134"/>
        <w:contextualSpacing/>
        <w:jc w:val="both"/>
        <w:rPr>
          <w:rFonts w:ascii="Arial" w:eastAsia="Times New Roman" w:hAnsi="Arial" w:cs="Arial"/>
          <w:color w:val="000000"/>
          <w:sz w:val="20"/>
          <w:szCs w:val="20"/>
        </w:rPr>
      </w:pPr>
      <w:r w:rsidRPr="00954924">
        <w:rPr>
          <w:rFonts w:ascii="Arial" w:eastAsia="Times New Roman" w:hAnsi="Arial" w:cs="Arial"/>
          <w:color w:val="000000"/>
          <w:sz w:val="20"/>
          <w:szCs w:val="20"/>
        </w:rPr>
        <w:t>w przypadku wypłaty świadczenia za śmierć Ubezpieczonego w wyniku NW na terenie placówki oświatowej, górną granicą odpowiedzialności jest - 150% sumy ubezpieczenia określonej w umowie ubezpieczenia dla Opcji Podstawowej, Opcji Ochrona Plus,</w:t>
      </w:r>
    </w:p>
    <w:p w:rsidR="00954924" w:rsidRPr="00954924" w:rsidRDefault="00954924" w:rsidP="00954924">
      <w:pPr>
        <w:numPr>
          <w:ilvl w:val="0"/>
          <w:numId w:val="4"/>
        </w:numPr>
        <w:spacing w:before="100" w:after="0" w:line="240" w:lineRule="auto"/>
        <w:ind w:left="1134"/>
        <w:contextualSpacing/>
        <w:jc w:val="both"/>
        <w:rPr>
          <w:rFonts w:ascii="Arial" w:eastAsia="Times New Roman" w:hAnsi="Arial" w:cs="Arial"/>
          <w:color w:val="000000"/>
          <w:sz w:val="20"/>
          <w:szCs w:val="20"/>
        </w:rPr>
      </w:pPr>
      <w:r w:rsidRPr="00954924">
        <w:rPr>
          <w:rFonts w:ascii="Arial" w:eastAsia="Times New Roman" w:hAnsi="Arial" w:cs="Arial"/>
          <w:color w:val="000000"/>
          <w:sz w:val="20"/>
          <w:szCs w:val="20"/>
        </w:rPr>
        <w:t>w przypadku Opcji Progresja - 250% sumy ubezpieczenia określonej w umowie ubezpieczenia dla w/w Opcji,</w:t>
      </w:r>
    </w:p>
    <w:p w:rsidR="00954924" w:rsidRPr="00954924" w:rsidRDefault="00954924" w:rsidP="00954924">
      <w:pPr>
        <w:numPr>
          <w:ilvl w:val="0"/>
          <w:numId w:val="4"/>
        </w:numPr>
        <w:spacing w:before="100" w:after="0" w:line="240" w:lineRule="auto"/>
        <w:ind w:left="1134"/>
        <w:contextualSpacing/>
        <w:jc w:val="both"/>
        <w:rPr>
          <w:rFonts w:ascii="Arial" w:eastAsia="Times New Roman" w:hAnsi="Arial" w:cs="Arial"/>
          <w:color w:val="000000"/>
          <w:sz w:val="20"/>
          <w:szCs w:val="20"/>
        </w:rPr>
      </w:pPr>
      <w:r w:rsidRPr="00954924">
        <w:rPr>
          <w:rFonts w:ascii="Arial" w:eastAsia="Times New Roman" w:hAnsi="Arial" w:cs="Arial"/>
          <w:color w:val="000000"/>
          <w:sz w:val="20"/>
          <w:szCs w:val="20"/>
        </w:rPr>
        <w:t>w przypadku Opcji Ochrona - 100% sumy ubezpieczenia określonej w umowie ubezpieczenia ustalonej odrębnie dla każdego zdarzenia w w/w Opcji.”</w:t>
      </w:r>
    </w:p>
    <w:p w:rsidR="00954924" w:rsidRPr="00954924" w:rsidRDefault="00954924" w:rsidP="00954924">
      <w:pPr>
        <w:spacing w:before="100" w:after="200" w:line="276" w:lineRule="auto"/>
        <w:ind w:left="720"/>
        <w:contextualSpacing/>
        <w:jc w:val="both"/>
        <w:rPr>
          <w:rFonts w:ascii="Arial" w:eastAsia="Times New Roman" w:hAnsi="Arial" w:cs="Arial"/>
          <w:color w:val="000000"/>
          <w:sz w:val="20"/>
          <w:szCs w:val="20"/>
        </w:rPr>
      </w:pPr>
    </w:p>
    <w:p w:rsidR="00954924" w:rsidRPr="00954924" w:rsidRDefault="00954924" w:rsidP="00954924">
      <w:pPr>
        <w:spacing w:before="100" w:after="200" w:line="276" w:lineRule="auto"/>
        <w:rPr>
          <w:rFonts w:ascii="Arial" w:eastAsia="Times New Roman" w:hAnsi="Arial" w:cs="Arial"/>
          <w:b/>
          <w:bCs/>
          <w:sz w:val="20"/>
          <w:szCs w:val="20"/>
        </w:rPr>
      </w:pPr>
      <w:r w:rsidRPr="00954924">
        <w:rPr>
          <w:rFonts w:ascii="Arial" w:eastAsia="Times New Roman" w:hAnsi="Arial" w:cs="Arial"/>
          <w:b/>
          <w:bCs/>
          <w:sz w:val="20"/>
          <w:szCs w:val="20"/>
        </w:rPr>
        <w:t>13. § 11 ust. 1 pkt. 8) lit. b) przyjmuje brzmienie:</w:t>
      </w:r>
    </w:p>
    <w:p w:rsidR="00954924" w:rsidRPr="00954924" w:rsidRDefault="00954924" w:rsidP="00954924">
      <w:pPr>
        <w:spacing w:before="100" w:after="200" w:line="276" w:lineRule="auto"/>
        <w:ind w:left="426" w:hanging="426"/>
        <w:jc w:val="both"/>
        <w:rPr>
          <w:rFonts w:ascii="Arial" w:eastAsia="Times New Roman" w:hAnsi="Arial" w:cs="Arial"/>
          <w:sz w:val="20"/>
          <w:szCs w:val="20"/>
        </w:rPr>
      </w:pPr>
      <w:r w:rsidRPr="00954924">
        <w:rPr>
          <w:rFonts w:ascii="Arial" w:eastAsia="Times New Roman" w:hAnsi="Arial" w:cs="Arial"/>
          <w:sz w:val="20"/>
          <w:szCs w:val="20"/>
        </w:rPr>
        <w:t xml:space="preserve">       „Została przeprowadzona w trakcie trwania ochrony ubezpieczeniowej w trakcie co najmniej trzydniowego pobytu Ubezpieczonego w szpitalu, a także w przypadku, gdy operacja została przeprowadzona po zakończeniu okresu ubezpieczenia, ale pod warunkiem, że nieszczęśliwy wypadek wydarzył się w okresie ubezpieczenia, a umowa ubezpieczenia jest kontynuowana na  następny, co najmniej 12-miesięczny okres ubezpieczenia.”.</w:t>
      </w:r>
    </w:p>
    <w:p w:rsidR="00954924" w:rsidRPr="00954924" w:rsidRDefault="00954924" w:rsidP="00954924">
      <w:pPr>
        <w:spacing w:before="100" w:after="200" w:line="276" w:lineRule="auto"/>
        <w:rPr>
          <w:rFonts w:ascii="Arial" w:eastAsia="Times New Roman" w:hAnsi="Arial" w:cs="Arial"/>
          <w:b/>
          <w:bCs/>
          <w:sz w:val="20"/>
          <w:szCs w:val="20"/>
        </w:rPr>
      </w:pPr>
      <w:r w:rsidRPr="00954924">
        <w:rPr>
          <w:rFonts w:ascii="Arial" w:eastAsia="Times New Roman" w:hAnsi="Arial" w:cs="Arial"/>
          <w:b/>
          <w:bCs/>
          <w:sz w:val="20"/>
          <w:szCs w:val="20"/>
        </w:rPr>
        <w:t xml:space="preserve">  14.     § 11 ust. 1 pkt. 9) lit. a) otrzymuje brzmienie:</w:t>
      </w:r>
    </w:p>
    <w:p w:rsidR="00954924" w:rsidRPr="00954924" w:rsidRDefault="00954924" w:rsidP="00954924">
      <w:pPr>
        <w:spacing w:before="100" w:after="200" w:line="276" w:lineRule="auto"/>
        <w:ind w:left="426" w:firstLine="7"/>
        <w:jc w:val="both"/>
        <w:rPr>
          <w:rFonts w:ascii="Arial" w:eastAsia="Times New Roman" w:hAnsi="Arial" w:cs="Arial"/>
          <w:sz w:val="20"/>
          <w:szCs w:val="20"/>
        </w:rPr>
      </w:pPr>
      <w:r w:rsidRPr="00954924">
        <w:rPr>
          <w:rFonts w:ascii="Arial" w:eastAsia="Times New Roman" w:hAnsi="Arial" w:cs="Arial"/>
          <w:sz w:val="20"/>
          <w:szCs w:val="20"/>
        </w:rPr>
        <w:t>„Została zalecona przez lekarza jako niezbędna cześć procesu leczenia choroby, która została zdiagnozowana po raz pierwszy w okresie ubezpieczenia lub w poprzednim okresie ubezpieczenia w ramach umowy ubezpieczenia EDU Plus zawartej przez Ubezpieczającego w 2018 roku, pod warunkiem braku przerwy w okresie ubezpieczenia pomiędzy umowami ubezpieczenia EDU Plus zawartymi w 2018 r. i 2019 r.  oraz pod warunkiem, że z umowy ubezpieczenia EDU Plus zawartej w 2018 r. nie były zgłaszane szkody z tytułu Opcji Dodatkowej D9.”</w:t>
      </w:r>
    </w:p>
    <w:p w:rsidR="00954924" w:rsidRPr="00954924" w:rsidRDefault="00954924" w:rsidP="00954924">
      <w:pPr>
        <w:spacing w:before="100" w:after="200" w:line="276" w:lineRule="auto"/>
        <w:jc w:val="both"/>
        <w:rPr>
          <w:rFonts w:ascii="Arial" w:eastAsia="Times New Roman" w:hAnsi="Arial" w:cs="Arial"/>
          <w:b/>
          <w:bCs/>
          <w:sz w:val="20"/>
          <w:szCs w:val="20"/>
        </w:rPr>
      </w:pPr>
      <w:r w:rsidRPr="00954924">
        <w:rPr>
          <w:rFonts w:ascii="Arial" w:eastAsia="Times New Roman" w:hAnsi="Arial" w:cs="Arial"/>
          <w:b/>
          <w:sz w:val="20"/>
          <w:szCs w:val="20"/>
        </w:rPr>
        <w:t>15</w:t>
      </w:r>
      <w:r w:rsidRPr="00954924">
        <w:rPr>
          <w:rFonts w:ascii="Arial" w:eastAsia="Times New Roman" w:hAnsi="Arial" w:cs="Arial"/>
          <w:sz w:val="20"/>
          <w:szCs w:val="20"/>
        </w:rPr>
        <w:t xml:space="preserve">. </w:t>
      </w:r>
      <w:r w:rsidRPr="00954924">
        <w:rPr>
          <w:rFonts w:ascii="Arial" w:eastAsia="Times New Roman" w:hAnsi="Arial" w:cs="Arial"/>
          <w:b/>
          <w:bCs/>
          <w:sz w:val="20"/>
          <w:szCs w:val="20"/>
        </w:rPr>
        <w:t xml:space="preserve">  § 11 ust. 1 pkt. 9) lit. b) otrzymuje brzmienie:</w:t>
      </w:r>
    </w:p>
    <w:p w:rsidR="00954924" w:rsidRPr="00954924" w:rsidRDefault="00954924" w:rsidP="00954924">
      <w:pPr>
        <w:spacing w:before="100" w:after="0" w:line="276" w:lineRule="auto"/>
        <w:ind w:left="426"/>
        <w:jc w:val="both"/>
        <w:rPr>
          <w:rFonts w:ascii="Arial" w:eastAsia="Times New Roman" w:hAnsi="Arial" w:cs="Arial"/>
          <w:sz w:val="20"/>
          <w:szCs w:val="20"/>
        </w:rPr>
      </w:pPr>
      <w:r w:rsidRPr="00954924">
        <w:rPr>
          <w:rFonts w:ascii="Arial" w:eastAsia="Times New Roman" w:hAnsi="Arial" w:cs="Arial"/>
          <w:sz w:val="20"/>
          <w:szCs w:val="20"/>
        </w:rPr>
        <w:t xml:space="preserve">„Została przeprowadzona w trakcie trwania ochrony ubezpieczeniowej w trakcie co najmniej trzydniowego pobytu Ubezpieczonego w szpitalu, a także w przypadku, gdy operacja została przeprowadzona po zakończeniu okresu ubezpieczenia, ale pod warunkiem, że nieszczęśliwy wypadek wydarzył się w okresie ubezpieczenia, a umowa ubezpieczenia jest kontynuowana na  następny, co najmniej 12-miesięczny okres ubezpieczenia.”  </w:t>
      </w:r>
    </w:p>
    <w:p w:rsidR="00954924" w:rsidRPr="00954924" w:rsidRDefault="00954924" w:rsidP="00954924">
      <w:pPr>
        <w:spacing w:before="100" w:after="0" w:line="276" w:lineRule="auto"/>
        <w:ind w:left="426"/>
        <w:jc w:val="both"/>
        <w:rPr>
          <w:rFonts w:ascii="Arial" w:eastAsia="Times New Roman" w:hAnsi="Arial" w:cs="Arial"/>
          <w:sz w:val="20"/>
          <w:szCs w:val="20"/>
        </w:rPr>
      </w:pPr>
    </w:p>
    <w:p w:rsidR="00954924" w:rsidRPr="00954924" w:rsidRDefault="00954924" w:rsidP="00954924">
      <w:pPr>
        <w:spacing w:before="100" w:after="0" w:line="276" w:lineRule="auto"/>
        <w:ind w:left="426"/>
        <w:jc w:val="both"/>
        <w:rPr>
          <w:rFonts w:ascii="Arial" w:eastAsia="Times New Roman" w:hAnsi="Arial" w:cs="Arial"/>
          <w:sz w:val="20"/>
          <w:szCs w:val="20"/>
        </w:rPr>
      </w:pPr>
      <w:r w:rsidRPr="00954924">
        <w:rPr>
          <w:rFonts w:ascii="Arial" w:eastAsia="Times New Roman" w:hAnsi="Arial" w:cs="Arial"/>
          <w:b/>
          <w:sz w:val="20"/>
          <w:szCs w:val="20"/>
        </w:rPr>
        <w:t xml:space="preserve">16. w § 4 ust. 1) dodaje się: w pkt. 1 </w:t>
      </w:r>
      <w:proofErr w:type="spellStart"/>
      <w:r w:rsidRPr="00954924">
        <w:rPr>
          <w:rFonts w:ascii="Arial" w:eastAsia="Times New Roman" w:hAnsi="Arial" w:cs="Arial"/>
          <w:b/>
          <w:sz w:val="20"/>
          <w:szCs w:val="20"/>
        </w:rPr>
        <w:t>lit.ł</w:t>
      </w:r>
      <w:proofErr w:type="spellEnd"/>
      <w:r w:rsidRPr="00954924">
        <w:rPr>
          <w:rFonts w:ascii="Arial" w:eastAsia="Times New Roman" w:hAnsi="Arial" w:cs="Arial"/>
          <w:b/>
          <w:sz w:val="20"/>
          <w:szCs w:val="20"/>
        </w:rPr>
        <w:t xml:space="preserve">), </w:t>
      </w:r>
      <w:r w:rsidRPr="00954924">
        <w:rPr>
          <w:rFonts w:ascii="Arial" w:eastAsia="Times New Roman" w:hAnsi="Arial" w:cs="Arial"/>
          <w:b/>
          <w:bCs/>
          <w:sz w:val="20"/>
          <w:szCs w:val="20"/>
        </w:rPr>
        <w:t>w pkt 3) dodaje się literę ń) otrzymują brzmienie:</w:t>
      </w:r>
    </w:p>
    <w:p w:rsidR="00954924" w:rsidRPr="00954924" w:rsidRDefault="00954924" w:rsidP="00954924">
      <w:pPr>
        <w:spacing w:before="100" w:after="0" w:line="276" w:lineRule="auto"/>
        <w:ind w:left="426"/>
        <w:jc w:val="both"/>
        <w:rPr>
          <w:rFonts w:ascii="Arial" w:eastAsia="Times New Roman" w:hAnsi="Arial" w:cs="Arial"/>
          <w:sz w:val="20"/>
          <w:szCs w:val="20"/>
        </w:rPr>
      </w:pPr>
      <w:r w:rsidRPr="00954924">
        <w:rPr>
          <w:rFonts w:ascii="Arial" w:eastAsia="Times New Roman" w:hAnsi="Arial" w:cs="Arial"/>
          <w:sz w:val="20"/>
          <w:szCs w:val="20"/>
        </w:rPr>
        <w:t>„zdiagnozowanie u Ubezpieczonego choroby odzwierzęcej”</w:t>
      </w:r>
    </w:p>
    <w:p w:rsidR="00954924" w:rsidRPr="00954924" w:rsidRDefault="00954924" w:rsidP="00954924">
      <w:pPr>
        <w:spacing w:before="100" w:after="0" w:line="276" w:lineRule="auto"/>
        <w:ind w:left="426"/>
        <w:jc w:val="both"/>
        <w:rPr>
          <w:rFonts w:ascii="Arial" w:eastAsia="Times New Roman" w:hAnsi="Arial" w:cs="Arial"/>
          <w:sz w:val="20"/>
          <w:szCs w:val="20"/>
        </w:rPr>
      </w:pPr>
    </w:p>
    <w:p w:rsidR="00954924" w:rsidRPr="00954924" w:rsidRDefault="00954924" w:rsidP="00954924">
      <w:pPr>
        <w:numPr>
          <w:ilvl w:val="0"/>
          <w:numId w:val="5"/>
        </w:numPr>
        <w:spacing w:before="100" w:after="0" w:line="240" w:lineRule="auto"/>
        <w:contextualSpacing/>
        <w:rPr>
          <w:rFonts w:ascii="Arial" w:eastAsia="Times New Roman" w:hAnsi="Arial" w:cs="Arial"/>
          <w:b/>
          <w:sz w:val="20"/>
          <w:szCs w:val="20"/>
        </w:rPr>
      </w:pPr>
      <w:r w:rsidRPr="00954924">
        <w:rPr>
          <w:rFonts w:ascii="Arial" w:eastAsia="Times New Roman" w:hAnsi="Arial" w:cs="Arial"/>
          <w:b/>
          <w:sz w:val="20"/>
          <w:szCs w:val="20"/>
        </w:rPr>
        <w:t>w §6  dodaje się pkt. 11), w §9 dodaje się pkt. 16) w brzmieniu:</w:t>
      </w:r>
    </w:p>
    <w:p w:rsidR="00954924" w:rsidRPr="00954924" w:rsidRDefault="00954924" w:rsidP="00954924">
      <w:pPr>
        <w:spacing w:before="100" w:after="200" w:line="276" w:lineRule="auto"/>
        <w:ind w:left="426"/>
        <w:rPr>
          <w:rFonts w:ascii="Arial" w:eastAsia="Times New Roman" w:hAnsi="Arial" w:cs="Arial"/>
          <w:b/>
          <w:bCs/>
          <w:sz w:val="20"/>
          <w:szCs w:val="20"/>
        </w:rPr>
      </w:pPr>
      <w:r w:rsidRPr="00954924">
        <w:rPr>
          <w:rFonts w:ascii="Arial" w:eastAsia="Times New Roman" w:hAnsi="Arial" w:cs="Arial"/>
          <w:b/>
          <w:bCs/>
          <w:sz w:val="20"/>
          <w:szCs w:val="20"/>
        </w:rPr>
        <w:lastRenderedPageBreak/>
        <w:t>„</w:t>
      </w:r>
      <w:r w:rsidRPr="00954924">
        <w:rPr>
          <w:rFonts w:ascii="Arial" w:eastAsia="Times New Roman" w:hAnsi="Arial" w:cs="Arial"/>
          <w:color w:val="000000"/>
          <w:sz w:val="20"/>
          <w:szCs w:val="20"/>
        </w:rPr>
        <w:t xml:space="preserve">W przypadku zdiagnozowania u Ubezpieczonego </w:t>
      </w:r>
      <w:r w:rsidRPr="00954924">
        <w:rPr>
          <w:rFonts w:ascii="Arial" w:eastAsia="Times New Roman" w:hAnsi="Arial" w:cs="Arial"/>
          <w:b/>
          <w:color w:val="000000"/>
          <w:sz w:val="20"/>
          <w:szCs w:val="20"/>
        </w:rPr>
        <w:t>choroby odzwierzęcej</w:t>
      </w:r>
      <w:r w:rsidRPr="00954924">
        <w:rPr>
          <w:rFonts w:ascii="Arial" w:eastAsia="Times New Roman" w:hAnsi="Arial" w:cs="Arial"/>
          <w:color w:val="000000"/>
          <w:sz w:val="20"/>
          <w:szCs w:val="20"/>
        </w:rPr>
        <w:t xml:space="preserve"> – jednorazowe świadczenie w wysokości 5% sumy ubezpieczenia określonej w umowie ubezpieczenia, pod warunkiem, iż choroba odzwierzęca została zdiagnozowana w okresie trwania ochrony ubezpieczeniowej.”</w:t>
      </w:r>
    </w:p>
    <w:p w:rsidR="00954924" w:rsidRPr="00954924" w:rsidRDefault="00954924" w:rsidP="00954924">
      <w:pPr>
        <w:numPr>
          <w:ilvl w:val="0"/>
          <w:numId w:val="5"/>
        </w:numPr>
        <w:spacing w:before="100" w:after="0" w:line="240" w:lineRule="auto"/>
        <w:contextualSpacing/>
        <w:jc w:val="both"/>
        <w:rPr>
          <w:rFonts w:ascii="Arial" w:eastAsia="SimSun" w:hAnsi="Arial" w:cs="Arial"/>
          <w:b/>
          <w:bCs/>
          <w:color w:val="000000"/>
          <w:sz w:val="20"/>
          <w:szCs w:val="20"/>
          <w:lang w:eastAsia="pl-PL"/>
        </w:rPr>
      </w:pPr>
      <w:r w:rsidRPr="00954924">
        <w:rPr>
          <w:rFonts w:ascii="Arial" w:eastAsia="SimSun" w:hAnsi="Arial" w:cs="Arial"/>
          <w:b/>
          <w:bCs/>
          <w:color w:val="000000"/>
          <w:sz w:val="20"/>
          <w:szCs w:val="20"/>
          <w:lang w:eastAsia="pl-PL"/>
        </w:rPr>
        <w:t>§ 11 ust. 1,  pkt. 4) otrzymuje brzmienie:</w:t>
      </w:r>
    </w:p>
    <w:p w:rsidR="00954924" w:rsidRPr="00954924" w:rsidRDefault="00954924" w:rsidP="00954924">
      <w:pPr>
        <w:spacing w:before="100" w:after="0" w:line="240" w:lineRule="auto"/>
        <w:ind w:left="426"/>
        <w:contextualSpacing/>
        <w:jc w:val="both"/>
        <w:rPr>
          <w:rFonts w:ascii="Arial" w:eastAsia="SimSun" w:hAnsi="Arial" w:cs="Arial"/>
          <w:bCs/>
          <w:color w:val="000000"/>
          <w:sz w:val="20"/>
          <w:szCs w:val="20"/>
          <w:lang w:eastAsia="pl-PL"/>
        </w:rPr>
      </w:pPr>
      <w:r w:rsidRPr="00954924">
        <w:rPr>
          <w:rFonts w:ascii="Arial" w:eastAsia="SimSun" w:hAnsi="Arial" w:cs="Arial"/>
          <w:bCs/>
          <w:color w:val="000000"/>
          <w:sz w:val="20"/>
          <w:szCs w:val="20"/>
          <w:lang w:eastAsia="pl-PL"/>
        </w:rPr>
        <w:t>„</w:t>
      </w:r>
      <w:r w:rsidRPr="00954924">
        <w:rPr>
          <w:rFonts w:ascii="Arial" w:eastAsia="SimSun" w:hAnsi="Arial" w:cs="Arial"/>
          <w:b/>
          <w:bCs/>
          <w:color w:val="000000"/>
          <w:sz w:val="20"/>
          <w:szCs w:val="20"/>
          <w:lang w:eastAsia="pl-PL"/>
        </w:rPr>
        <w:t>4) opcja Dodatkowa D4 – pobyt w szpitalu w okresie ubezpieczenia w wyniku nieszczęśliwego wypadku</w:t>
      </w:r>
      <w:r w:rsidRPr="00954924">
        <w:rPr>
          <w:rFonts w:ascii="Arial" w:eastAsia="SimSun" w:hAnsi="Arial" w:cs="Arial"/>
          <w:bCs/>
          <w:color w:val="000000"/>
          <w:sz w:val="20"/>
          <w:szCs w:val="20"/>
          <w:lang w:eastAsia="pl-PL"/>
        </w:rPr>
        <w:t xml:space="preserve"> – świadczenie w wysokości 1% sumy ubezpieczenia określonej w umowie ubezpieczenia dla Opcji Dodatkowej D4, świadczenie płatne od pierwszego dnia pobytu Ubezpieczonego w szpitalu, pod warunkiem minimum 3 dniowego pobytu w szpitalu, będącego następstwem nieszczęśliwego wypadku, który miał miejsce w okresie trwania ochrony ubezpieczeniowej. W przypadku kolejnych, następujących po sobie pobytów w szpitalu w związku z tym samym nieszczęśliwym wypadkiem świadczenie szpitalne przysługuje od pierwszego dnia pobytu w szpitalu. Świadczenie z tytułu pobytu w szpitalu w wyniku nieszczęśliwego wypadku przysługuje maksymalnie za 90 dni pobytu Ubezpieczonego w szpitalu. Gdy wypis ze szpitala nastąpi po zakończeniu okresu ubezpieczenia pobyt w szpitalu jest objęty odpowiedzialnością Ubezpieczyciela, pod warunkiem, że przyjęcie do szpitala nastąpiło w okresie ubezpieczenia.”</w:t>
      </w:r>
    </w:p>
    <w:p w:rsidR="00954924" w:rsidRPr="00954924" w:rsidRDefault="00954924" w:rsidP="00954924">
      <w:pPr>
        <w:spacing w:before="100" w:after="0" w:line="240" w:lineRule="auto"/>
        <w:ind w:left="426"/>
        <w:contextualSpacing/>
        <w:jc w:val="both"/>
        <w:rPr>
          <w:rFonts w:ascii="Arial" w:eastAsia="SimSun" w:hAnsi="Arial" w:cs="Arial"/>
          <w:bCs/>
          <w:color w:val="000000"/>
          <w:sz w:val="20"/>
          <w:szCs w:val="20"/>
          <w:lang w:eastAsia="pl-PL"/>
        </w:rPr>
      </w:pPr>
    </w:p>
    <w:p w:rsidR="00954924" w:rsidRPr="00954924" w:rsidRDefault="00954924" w:rsidP="00954924">
      <w:pPr>
        <w:numPr>
          <w:ilvl w:val="0"/>
          <w:numId w:val="5"/>
        </w:numPr>
        <w:spacing w:before="100" w:after="0" w:line="240" w:lineRule="auto"/>
        <w:contextualSpacing/>
        <w:jc w:val="both"/>
        <w:rPr>
          <w:rFonts w:ascii="Arial" w:eastAsia="SimSun" w:hAnsi="Arial" w:cs="Arial"/>
          <w:b/>
          <w:bCs/>
          <w:color w:val="000000"/>
          <w:sz w:val="20"/>
          <w:szCs w:val="20"/>
          <w:lang w:eastAsia="pl-PL"/>
        </w:rPr>
      </w:pPr>
      <w:r w:rsidRPr="00954924">
        <w:rPr>
          <w:rFonts w:ascii="Arial" w:eastAsia="SimSun" w:hAnsi="Arial" w:cs="Arial"/>
          <w:b/>
          <w:bCs/>
          <w:color w:val="000000"/>
          <w:sz w:val="20"/>
          <w:szCs w:val="20"/>
          <w:lang w:eastAsia="pl-PL"/>
        </w:rPr>
        <w:t>§ 11 ust. 1,  pkt. 5) otrzymuje brzmienie:</w:t>
      </w:r>
    </w:p>
    <w:p w:rsidR="00954924" w:rsidRPr="00954924" w:rsidRDefault="00954924" w:rsidP="00954924">
      <w:pPr>
        <w:spacing w:before="100" w:after="0" w:line="240" w:lineRule="auto"/>
        <w:ind w:left="284"/>
        <w:jc w:val="both"/>
        <w:rPr>
          <w:rFonts w:ascii="Arial" w:eastAsia="Times New Roman" w:hAnsi="Arial" w:cs="Arial"/>
          <w:sz w:val="20"/>
          <w:szCs w:val="20"/>
        </w:rPr>
      </w:pPr>
      <w:r w:rsidRPr="00954924">
        <w:rPr>
          <w:rFonts w:ascii="Arial" w:eastAsia="Times New Roman" w:hAnsi="Arial" w:cs="Arial"/>
          <w:sz w:val="20"/>
          <w:szCs w:val="20"/>
          <w:lang w:eastAsia="pl-PL"/>
        </w:rPr>
        <w:t>„</w:t>
      </w:r>
      <w:r w:rsidRPr="00954924">
        <w:rPr>
          <w:rFonts w:ascii="Arial" w:eastAsia="SimSun" w:hAnsi="Arial" w:cs="Arial"/>
          <w:b/>
          <w:bCs/>
          <w:color w:val="000000"/>
          <w:sz w:val="20"/>
          <w:szCs w:val="20"/>
          <w:lang w:eastAsia="pl-PL"/>
        </w:rPr>
        <w:t>5) opcja Dodatkowa D5 – pobyt w szpitalu w okresie ubezpieczenia w wyniku choroby</w:t>
      </w:r>
      <w:r w:rsidRPr="00954924">
        <w:rPr>
          <w:rFonts w:ascii="Arial" w:eastAsia="SimSun" w:hAnsi="Arial" w:cs="Arial"/>
          <w:bCs/>
          <w:color w:val="000000"/>
          <w:sz w:val="20"/>
          <w:szCs w:val="20"/>
          <w:lang w:eastAsia="pl-PL"/>
        </w:rPr>
        <w:t xml:space="preserve"> – świadczenie w wysokości 1% sumy ubezpieczenia określonej w umowie ubezpieczenia dla Opcji Dodatkowej D5, świadczenie płatne od drugiego dnia pobytu Ubezpieczonego w szpitalu, pod warunkiem minimum 3 dniowego pobytu w szpitalu, w związku z chorobą, która została zdiagnozowana w trakcie trwania ochrony ubezpieczeniowej. W przypadku kolejnych, następujących po sobie pobytów w szpitalu w związku z tą samą chorobą świadczenie szpitalne przysługuje od pierwszego dnia pobytu w szpitalu. Świadczenie z tytułu pobytu w szpitalu w wyniku choroby przysługuje maksymalnie za 60 dni pobytu w szpitalu. Gdy wypis ze szpitala nastąpi po zakończeniu okresu ubezpieczenia pobyt w szpitalu jest objęty odpowiedzialnością Ubezpieczyciela, pod warunkiem, że przyjęcie do szpitala nastąpiło w okresie ubezpieczenia.”</w:t>
      </w:r>
    </w:p>
    <w:p w:rsidR="00954924" w:rsidRPr="00954924" w:rsidRDefault="00954924" w:rsidP="00954924">
      <w:pPr>
        <w:numPr>
          <w:ilvl w:val="0"/>
          <w:numId w:val="5"/>
        </w:numPr>
        <w:spacing w:before="100" w:after="200" w:line="276" w:lineRule="auto"/>
        <w:contextualSpacing/>
        <w:rPr>
          <w:rFonts w:ascii="Arial" w:eastAsia="Times New Roman" w:hAnsi="Arial" w:cs="Arial"/>
          <w:b/>
          <w:bCs/>
          <w:sz w:val="20"/>
          <w:szCs w:val="20"/>
        </w:rPr>
      </w:pPr>
      <w:r w:rsidRPr="00954924">
        <w:rPr>
          <w:rFonts w:ascii="Arial" w:eastAsia="Times New Roman" w:hAnsi="Arial" w:cs="Arial"/>
          <w:b/>
          <w:bCs/>
          <w:sz w:val="20"/>
          <w:szCs w:val="20"/>
        </w:rPr>
        <w:t>w § 6  pkt 7 ),  w § 9 pkt 12) w brzmieniu:</w:t>
      </w:r>
    </w:p>
    <w:p w:rsidR="00954924" w:rsidRPr="00954924" w:rsidRDefault="00954924" w:rsidP="00954924">
      <w:pPr>
        <w:spacing w:before="60" w:after="60" w:line="240" w:lineRule="auto"/>
        <w:ind w:left="284"/>
        <w:jc w:val="both"/>
        <w:rPr>
          <w:rFonts w:ascii="Arial" w:eastAsia="Times New Roman" w:hAnsi="Arial" w:cs="Arial"/>
          <w:sz w:val="20"/>
          <w:szCs w:val="20"/>
        </w:rPr>
      </w:pPr>
      <w:r w:rsidRPr="00954924">
        <w:rPr>
          <w:rFonts w:ascii="Arial" w:eastAsia="Times New Roman" w:hAnsi="Arial" w:cs="Arial"/>
          <w:sz w:val="20"/>
          <w:szCs w:val="20"/>
        </w:rPr>
        <w:t>„W przypadku</w:t>
      </w:r>
      <w:r w:rsidRPr="00954924">
        <w:rPr>
          <w:rFonts w:ascii="Arial" w:eastAsia="Times New Roman" w:hAnsi="Arial" w:cs="Arial"/>
          <w:b/>
          <w:sz w:val="20"/>
          <w:szCs w:val="20"/>
        </w:rPr>
        <w:t xml:space="preserve"> wstrząśnienia mózgu</w:t>
      </w:r>
      <w:r w:rsidRPr="00954924">
        <w:rPr>
          <w:rFonts w:ascii="Arial" w:eastAsia="Times New Roman" w:hAnsi="Arial" w:cs="Arial"/>
          <w:sz w:val="20"/>
          <w:szCs w:val="20"/>
        </w:rPr>
        <w:t xml:space="preserve"> </w:t>
      </w:r>
      <w:r w:rsidRPr="00954924">
        <w:rPr>
          <w:rFonts w:ascii="Arial" w:eastAsia="Times New Roman" w:hAnsi="Arial" w:cs="Arial"/>
          <w:b/>
          <w:sz w:val="20"/>
          <w:szCs w:val="20"/>
        </w:rPr>
        <w:t xml:space="preserve">w następstwie nieszczęśliwego wypadku </w:t>
      </w:r>
      <w:r w:rsidRPr="00954924">
        <w:rPr>
          <w:rFonts w:ascii="Arial" w:eastAsia="Times New Roman" w:hAnsi="Arial" w:cs="Arial"/>
          <w:sz w:val="20"/>
          <w:szCs w:val="20"/>
        </w:rPr>
        <w:t>- jeżeli w wyniku nieszczęśliwego wypadku Ubezpieczony doznał wstrząśnienia mózgu, w wyniku którego konieczny był co najmniej dwudniowy pobyt Ubezpieczonego w szpitalu przysługuje jednorazowe świadczenie w wysokości stanowiącej 3% sumy ubezpieczenia określonej w umowie ubezpieczenia.”</w:t>
      </w:r>
    </w:p>
    <w:p w:rsidR="00954924" w:rsidRPr="00954924" w:rsidRDefault="00954924" w:rsidP="00954924">
      <w:pPr>
        <w:spacing w:before="60" w:after="60" w:line="240" w:lineRule="auto"/>
        <w:ind w:left="284"/>
        <w:jc w:val="both"/>
        <w:rPr>
          <w:rFonts w:ascii="Arial" w:eastAsia="Times New Roman" w:hAnsi="Arial" w:cs="Arial"/>
          <w:sz w:val="20"/>
          <w:szCs w:val="20"/>
        </w:rPr>
      </w:pPr>
    </w:p>
    <w:p w:rsidR="00954924" w:rsidRPr="00954924" w:rsidRDefault="00954924" w:rsidP="00954924">
      <w:pPr>
        <w:numPr>
          <w:ilvl w:val="0"/>
          <w:numId w:val="5"/>
        </w:numPr>
        <w:spacing w:before="100" w:after="200" w:line="276" w:lineRule="auto"/>
        <w:contextualSpacing/>
        <w:rPr>
          <w:rFonts w:ascii="Arial" w:eastAsia="Times New Roman" w:hAnsi="Arial" w:cs="Arial"/>
          <w:b/>
          <w:bCs/>
          <w:sz w:val="20"/>
          <w:szCs w:val="20"/>
        </w:rPr>
      </w:pPr>
      <w:r w:rsidRPr="00954924">
        <w:rPr>
          <w:rFonts w:ascii="Arial" w:eastAsia="Times New Roman" w:hAnsi="Arial" w:cs="Arial"/>
          <w:b/>
          <w:bCs/>
          <w:sz w:val="20"/>
          <w:szCs w:val="20"/>
        </w:rPr>
        <w:t xml:space="preserve"> w § 11 ust. 1 pkt. 13) Opcja Dodatkowa D13- koszty leczenia stomatologicznego  w wyniku nieszczęśliwego wypadku otrzymuje brzmienie:</w:t>
      </w:r>
    </w:p>
    <w:p w:rsidR="00954924" w:rsidRPr="00954924" w:rsidRDefault="00954924" w:rsidP="00954924">
      <w:pPr>
        <w:spacing w:before="100" w:after="200" w:line="276" w:lineRule="auto"/>
        <w:ind w:left="284"/>
        <w:contextualSpacing/>
        <w:rPr>
          <w:rFonts w:ascii="Arial" w:eastAsia="Times New Roman" w:hAnsi="Arial" w:cs="Arial"/>
          <w:b/>
          <w:bCs/>
          <w:sz w:val="20"/>
          <w:szCs w:val="20"/>
        </w:rPr>
      </w:pPr>
      <w:r w:rsidRPr="00954924">
        <w:rPr>
          <w:rFonts w:ascii="Arial" w:eastAsia="Times New Roman" w:hAnsi="Arial" w:cs="Arial"/>
          <w:sz w:val="20"/>
          <w:szCs w:val="20"/>
          <w:lang w:bidi="en-US"/>
        </w:rPr>
        <w:t>„13)  zwrot udokumentowanych kosztów do wysokości 15% sumy ubezpieczenia określonej w umowie ubezpieczenia dla Opcji Dodatkowej D13, pod warunkiem, iż koszty leczenia stomatologicznego:</w:t>
      </w:r>
    </w:p>
    <w:p w:rsidR="00954924" w:rsidRPr="00954924" w:rsidRDefault="00954924" w:rsidP="00954924">
      <w:pPr>
        <w:numPr>
          <w:ilvl w:val="0"/>
          <w:numId w:val="6"/>
        </w:numPr>
        <w:spacing w:before="60" w:after="60" w:line="240" w:lineRule="auto"/>
        <w:ind w:left="851" w:hanging="284"/>
        <w:jc w:val="both"/>
        <w:rPr>
          <w:rFonts w:ascii="Arial" w:eastAsia="Times New Roman" w:hAnsi="Arial" w:cs="Arial"/>
          <w:sz w:val="20"/>
          <w:szCs w:val="20"/>
          <w:lang w:bidi="en-US"/>
        </w:rPr>
      </w:pPr>
      <w:r w:rsidRPr="00954924">
        <w:rPr>
          <w:rFonts w:ascii="Arial" w:eastAsia="Times New Roman" w:hAnsi="Arial" w:cs="Arial"/>
          <w:sz w:val="20"/>
          <w:szCs w:val="20"/>
          <w:lang w:bidi="en-US"/>
        </w:rPr>
        <w:t>powstały w następstwie nieszczęśliwego wypadku, który wydarzył się podczas trwania ochrony ubezpieczeniowej</w:t>
      </w:r>
    </w:p>
    <w:p w:rsidR="00954924" w:rsidRPr="00954924" w:rsidRDefault="00954924" w:rsidP="00954924">
      <w:pPr>
        <w:spacing w:before="60" w:after="60" w:line="240" w:lineRule="auto"/>
        <w:ind w:left="851"/>
        <w:jc w:val="both"/>
        <w:rPr>
          <w:rFonts w:ascii="Arial" w:eastAsia="Times New Roman" w:hAnsi="Arial" w:cs="Arial"/>
          <w:sz w:val="20"/>
          <w:szCs w:val="20"/>
          <w:lang w:bidi="en-US"/>
        </w:rPr>
      </w:pPr>
      <w:r w:rsidRPr="00954924">
        <w:rPr>
          <w:rFonts w:ascii="Arial" w:eastAsia="Times New Roman" w:hAnsi="Arial" w:cs="Arial"/>
          <w:sz w:val="20"/>
          <w:szCs w:val="20"/>
          <w:lang w:bidi="en-US"/>
        </w:rPr>
        <w:t>oraz</w:t>
      </w:r>
    </w:p>
    <w:p w:rsidR="00954924" w:rsidRPr="00954924" w:rsidRDefault="00954924" w:rsidP="00954924">
      <w:pPr>
        <w:numPr>
          <w:ilvl w:val="0"/>
          <w:numId w:val="6"/>
        </w:numPr>
        <w:spacing w:before="100" w:after="200" w:line="240" w:lineRule="auto"/>
        <w:ind w:left="851" w:hanging="284"/>
        <w:contextualSpacing/>
        <w:jc w:val="both"/>
        <w:rPr>
          <w:rFonts w:ascii="Cambria" w:eastAsia="Times New Roman" w:hAnsi="Cambria" w:cs="Times New Roman"/>
          <w:lang w:bidi="en-US"/>
        </w:rPr>
      </w:pPr>
      <w:r w:rsidRPr="00954924">
        <w:rPr>
          <w:rFonts w:ascii="Arial" w:eastAsia="Times New Roman" w:hAnsi="Arial" w:cs="Arial"/>
          <w:sz w:val="20"/>
          <w:szCs w:val="20"/>
          <w:lang w:bidi="en-US"/>
        </w:rPr>
        <w:t xml:space="preserve">zostały poniesione na odbudowę stomatologiczną uszkodzonego lub utraconego zęba stałego, z zastrzeżeniem, że w związku z utratą lub uszkodzeniem zęba w następstwie nieszczęśliwego wypadku u Ubezpieczonego został orzeczony uszczerbek na zdrowiu, </w:t>
      </w:r>
    </w:p>
    <w:p w:rsidR="00954924" w:rsidRPr="00954924" w:rsidRDefault="00954924" w:rsidP="00954924">
      <w:pPr>
        <w:spacing w:after="200" w:line="240" w:lineRule="auto"/>
        <w:ind w:left="851"/>
        <w:contextualSpacing/>
        <w:jc w:val="both"/>
        <w:rPr>
          <w:rFonts w:ascii="Cambria" w:eastAsia="Times New Roman" w:hAnsi="Cambria" w:cs="Times New Roman"/>
          <w:lang w:bidi="en-US"/>
        </w:rPr>
      </w:pPr>
      <w:r w:rsidRPr="00954924">
        <w:rPr>
          <w:rFonts w:ascii="Arial" w:eastAsia="Times New Roman" w:hAnsi="Arial" w:cs="Arial"/>
          <w:sz w:val="20"/>
          <w:szCs w:val="20"/>
          <w:lang w:bidi="en-US"/>
        </w:rPr>
        <w:t>oraz</w:t>
      </w:r>
    </w:p>
    <w:p w:rsidR="00954924" w:rsidRPr="00954924" w:rsidRDefault="00954924" w:rsidP="00954924">
      <w:pPr>
        <w:numPr>
          <w:ilvl w:val="0"/>
          <w:numId w:val="6"/>
        </w:numPr>
        <w:tabs>
          <w:tab w:val="left" w:pos="567"/>
        </w:tabs>
        <w:spacing w:before="60" w:after="60" w:line="240" w:lineRule="auto"/>
        <w:ind w:left="851" w:hanging="284"/>
        <w:jc w:val="both"/>
        <w:rPr>
          <w:rFonts w:ascii="Arial" w:eastAsia="Times New Roman" w:hAnsi="Arial" w:cs="Arial"/>
          <w:sz w:val="20"/>
          <w:szCs w:val="20"/>
          <w:lang w:bidi="en-US"/>
        </w:rPr>
      </w:pPr>
      <w:r w:rsidRPr="00954924">
        <w:rPr>
          <w:rFonts w:ascii="Arial" w:eastAsia="Times New Roman" w:hAnsi="Arial" w:cs="Arial"/>
          <w:sz w:val="20"/>
          <w:szCs w:val="20"/>
          <w:lang w:bidi="en-US"/>
        </w:rPr>
        <w:t>zostały poniesione w okresie ubezpieczenia na terytorium Rzeczpospolitej Polskiej, w okresie maksymalnie 6 miesięcy od daty nieszczęśliwego wypadku.”</w:t>
      </w:r>
    </w:p>
    <w:p w:rsidR="00954924" w:rsidRPr="00954924" w:rsidRDefault="00954924" w:rsidP="00954924">
      <w:pPr>
        <w:numPr>
          <w:ilvl w:val="0"/>
          <w:numId w:val="5"/>
        </w:numPr>
        <w:spacing w:before="100" w:after="200" w:line="276" w:lineRule="auto"/>
        <w:contextualSpacing/>
        <w:rPr>
          <w:rFonts w:ascii="Arial" w:eastAsia="Times New Roman" w:hAnsi="Arial" w:cs="Arial"/>
          <w:b/>
          <w:bCs/>
          <w:sz w:val="20"/>
          <w:szCs w:val="20"/>
        </w:rPr>
      </w:pPr>
      <w:r w:rsidRPr="00954924">
        <w:rPr>
          <w:rFonts w:ascii="Arial" w:eastAsia="Times New Roman" w:hAnsi="Arial" w:cs="Arial"/>
          <w:b/>
          <w:bCs/>
          <w:sz w:val="20"/>
          <w:szCs w:val="20"/>
        </w:rPr>
        <w:t>w § 11 ust. 1 pkt. 10) Opcja Dodatkowa D10- koszty leczenia w wyniku nieszczęśliwego wypadku otrzymuje brzmienie:</w:t>
      </w:r>
    </w:p>
    <w:p w:rsidR="00954924" w:rsidRPr="00954924" w:rsidRDefault="00954924" w:rsidP="00954924">
      <w:pPr>
        <w:spacing w:before="60" w:after="60" w:line="240" w:lineRule="auto"/>
        <w:ind w:left="709"/>
        <w:jc w:val="both"/>
        <w:rPr>
          <w:rFonts w:ascii="Arial" w:eastAsia="Times New Roman" w:hAnsi="Arial" w:cs="Arial"/>
          <w:sz w:val="20"/>
          <w:szCs w:val="20"/>
        </w:rPr>
      </w:pPr>
      <w:r w:rsidRPr="00954924">
        <w:rPr>
          <w:rFonts w:ascii="Arial" w:eastAsia="Times New Roman" w:hAnsi="Arial" w:cs="Arial"/>
          <w:b/>
          <w:sz w:val="20"/>
          <w:szCs w:val="20"/>
        </w:rPr>
        <w:t xml:space="preserve">„10) </w:t>
      </w:r>
      <w:r w:rsidRPr="00954924">
        <w:rPr>
          <w:rFonts w:ascii="Arial" w:eastAsia="Times New Roman" w:hAnsi="Arial" w:cs="Arial"/>
          <w:sz w:val="20"/>
          <w:szCs w:val="20"/>
        </w:rPr>
        <w:t xml:space="preserve">zwrot udokumentowanych kosztów do wysokości 20% sumy ubezpieczenia określonej w umowie ubezpieczenia dla Opcji Dodatkowej D10. W ramach limitu na zwrot kosztów leczenia zastosowanie ma </w:t>
      </w:r>
      <w:proofErr w:type="spellStart"/>
      <w:r w:rsidRPr="00954924">
        <w:rPr>
          <w:rFonts w:ascii="Arial" w:eastAsia="Times New Roman" w:hAnsi="Arial" w:cs="Arial"/>
          <w:sz w:val="20"/>
          <w:szCs w:val="20"/>
        </w:rPr>
        <w:t>podlimit</w:t>
      </w:r>
      <w:proofErr w:type="spellEnd"/>
      <w:r w:rsidRPr="00954924">
        <w:rPr>
          <w:rFonts w:ascii="Arial" w:eastAsia="Times New Roman" w:hAnsi="Arial" w:cs="Arial"/>
          <w:sz w:val="20"/>
          <w:szCs w:val="20"/>
        </w:rPr>
        <w:t xml:space="preserve"> na zwrot kosztów rehabilitacji, który wynosi 1000 zł. Zwrot kosztów leczenia następuje pod warunkiem, że koszty leczenia:</w:t>
      </w:r>
    </w:p>
    <w:p w:rsidR="00954924" w:rsidRPr="00954924" w:rsidRDefault="00954924" w:rsidP="00954924">
      <w:pPr>
        <w:numPr>
          <w:ilvl w:val="0"/>
          <w:numId w:val="7"/>
        </w:numPr>
        <w:tabs>
          <w:tab w:val="num" w:pos="1134"/>
        </w:tabs>
        <w:spacing w:before="60" w:after="60" w:line="240" w:lineRule="auto"/>
        <w:ind w:left="1134" w:hanging="425"/>
        <w:jc w:val="both"/>
        <w:rPr>
          <w:rFonts w:ascii="Arial" w:eastAsia="Times New Roman" w:hAnsi="Arial" w:cs="Arial"/>
          <w:sz w:val="20"/>
          <w:szCs w:val="20"/>
        </w:rPr>
      </w:pPr>
      <w:r w:rsidRPr="00954924">
        <w:rPr>
          <w:rFonts w:ascii="Arial" w:eastAsia="Times New Roman" w:hAnsi="Arial" w:cs="Arial"/>
          <w:sz w:val="20"/>
          <w:szCs w:val="20"/>
        </w:rPr>
        <w:t>powstały w następstwie nieszczęśliwego wypadku, który wydarzył się podczas trwania ochrony ubezpieczeniowej oraz</w:t>
      </w:r>
    </w:p>
    <w:p w:rsidR="00954924" w:rsidRPr="00954924" w:rsidRDefault="00954924" w:rsidP="00954924">
      <w:pPr>
        <w:numPr>
          <w:ilvl w:val="0"/>
          <w:numId w:val="7"/>
        </w:numPr>
        <w:tabs>
          <w:tab w:val="num" w:pos="1134"/>
        </w:tabs>
        <w:spacing w:before="60" w:after="60" w:line="240" w:lineRule="auto"/>
        <w:ind w:left="1134" w:hanging="425"/>
        <w:jc w:val="both"/>
        <w:rPr>
          <w:rFonts w:ascii="Arial" w:eastAsia="Times New Roman" w:hAnsi="Arial" w:cs="Arial"/>
          <w:sz w:val="20"/>
          <w:szCs w:val="20"/>
        </w:rPr>
      </w:pPr>
      <w:r w:rsidRPr="00954924">
        <w:rPr>
          <w:rFonts w:ascii="Arial" w:eastAsia="Times New Roman" w:hAnsi="Arial" w:cs="Arial"/>
          <w:sz w:val="20"/>
          <w:szCs w:val="20"/>
        </w:rPr>
        <w:lastRenderedPageBreak/>
        <w:t>zostały poniesione na terytorium Rzeczpospolitej Polskiej w okresie nie dłuższym niż 12 miesięcy od daty nieszczęśliwego wypadku.”</w:t>
      </w:r>
    </w:p>
    <w:bookmarkEnd w:id="0"/>
    <w:p w:rsidR="00C931C8" w:rsidRDefault="00C931C8"/>
    <w:sectPr w:rsidR="00C93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82C"/>
    <w:multiLevelType w:val="hybridMultilevel"/>
    <w:tmpl w:val="213C4FF2"/>
    <w:lvl w:ilvl="0" w:tplc="04150017">
      <w:start w:val="1"/>
      <w:numFmt w:val="lowerLetter"/>
      <w:lvlText w:val="%1)"/>
      <w:lvlJc w:val="left"/>
      <w:pPr>
        <w:tabs>
          <w:tab w:val="num" w:pos="494"/>
        </w:tabs>
        <w:ind w:left="49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9C1BA7"/>
    <w:multiLevelType w:val="hybridMultilevel"/>
    <w:tmpl w:val="9F6A284E"/>
    <w:lvl w:ilvl="0" w:tplc="F252C240">
      <w:start w:val="1"/>
      <w:numFmt w:val="lowerLetter"/>
      <w:lvlText w:val="%1)"/>
      <w:lvlJc w:val="left"/>
      <w:pPr>
        <w:ind w:left="786" w:hanging="360"/>
      </w:pPr>
      <w:rPr>
        <w:rFonts w:ascii="Calibri" w:hAnsi="Calibri" w:cs="Times New Roman" w:hint="default"/>
        <w:b w:val="0"/>
        <w:i w:val="0"/>
        <w:color w:val="00000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4A1261"/>
    <w:multiLevelType w:val="hybridMultilevel"/>
    <w:tmpl w:val="8056DBB4"/>
    <w:lvl w:ilvl="0" w:tplc="97F65B6A">
      <w:start w:val="1"/>
      <w:numFmt w:val="decimal"/>
      <w:lvlText w:val="%1."/>
      <w:lvlJc w:val="left"/>
      <w:pPr>
        <w:ind w:left="720" w:hanging="360"/>
      </w:pPr>
      <w:rPr>
        <w:rFonts w:ascii="Arial" w:hAnsi="Arial" w:cs="Times New Roman" w:hint="default"/>
        <w:b/>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EF72A6"/>
    <w:multiLevelType w:val="hybridMultilevel"/>
    <w:tmpl w:val="4B9AE72C"/>
    <w:lvl w:ilvl="0" w:tplc="539024D4">
      <w:start w:val="1"/>
      <w:numFmt w:val="lowerLetter"/>
      <w:lvlText w:val="%1)"/>
      <w:lvlJc w:val="left"/>
      <w:pPr>
        <w:ind w:left="2058" w:hanging="360"/>
      </w:pPr>
    </w:lvl>
    <w:lvl w:ilvl="1" w:tplc="04150019">
      <w:start w:val="1"/>
      <w:numFmt w:val="lowerLetter"/>
      <w:lvlText w:val="%2."/>
      <w:lvlJc w:val="left"/>
      <w:pPr>
        <w:ind w:left="2778" w:hanging="360"/>
      </w:pPr>
    </w:lvl>
    <w:lvl w:ilvl="2" w:tplc="0415001B">
      <w:start w:val="1"/>
      <w:numFmt w:val="lowerRoman"/>
      <w:lvlText w:val="%3."/>
      <w:lvlJc w:val="right"/>
      <w:pPr>
        <w:ind w:left="3498" w:hanging="180"/>
      </w:pPr>
    </w:lvl>
    <w:lvl w:ilvl="3" w:tplc="0415000F">
      <w:start w:val="1"/>
      <w:numFmt w:val="decimal"/>
      <w:lvlText w:val="%4."/>
      <w:lvlJc w:val="left"/>
      <w:pPr>
        <w:ind w:left="4218" w:hanging="360"/>
      </w:pPr>
    </w:lvl>
    <w:lvl w:ilvl="4" w:tplc="04150019">
      <w:start w:val="1"/>
      <w:numFmt w:val="lowerLetter"/>
      <w:lvlText w:val="%5."/>
      <w:lvlJc w:val="left"/>
      <w:pPr>
        <w:ind w:left="4938" w:hanging="360"/>
      </w:pPr>
    </w:lvl>
    <w:lvl w:ilvl="5" w:tplc="0415001B">
      <w:start w:val="1"/>
      <w:numFmt w:val="lowerRoman"/>
      <w:lvlText w:val="%6."/>
      <w:lvlJc w:val="right"/>
      <w:pPr>
        <w:ind w:left="5658" w:hanging="180"/>
      </w:pPr>
    </w:lvl>
    <w:lvl w:ilvl="6" w:tplc="0415000F">
      <w:start w:val="1"/>
      <w:numFmt w:val="decimal"/>
      <w:lvlText w:val="%7."/>
      <w:lvlJc w:val="left"/>
      <w:pPr>
        <w:ind w:left="6378" w:hanging="360"/>
      </w:pPr>
    </w:lvl>
    <w:lvl w:ilvl="7" w:tplc="04150019">
      <w:start w:val="1"/>
      <w:numFmt w:val="lowerLetter"/>
      <w:lvlText w:val="%8."/>
      <w:lvlJc w:val="left"/>
      <w:pPr>
        <w:ind w:left="7098" w:hanging="360"/>
      </w:pPr>
    </w:lvl>
    <w:lvl w:ilvl="8" w:tplc="0415001B">
      <w:start w:val="1"/>
      <w:numFmt w:val="lowerRoman"/>
      <w:lvlText w:val="%9."/>
      <w:lvlJc w:val="right"/>
      <w:pPr>
        <w:ind w:left="7818" w:hanging="180"/>
      </w:pPr>
    </w:lvl>
  </w:abstractNum>
  <w:abstractNum w:abstractNumId="4" w15:restartNumberingAfterBreak="0">
    <w:nsid w:val="1BC86F60"/>
    <w:multiLevelType w:val="hybridMultilevel"/>
    <w:tmpl w:val="AC303338"/>
    <w:lvl w:ilvl="0" w:tplc="0415000F">
      <w:start w:val="1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9826317"/>
    <w:multiLevelType w:val="hybridMultilevel"/>
    <w:tmpl w:val="93E2C1E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66162221"/>
    <w:multiLevelType w:val="hybridMultilevel"/>
    <w:tmpl w:val="F6884A0A"/>
    <w:lvl w:ilvl="0" w:tplc="904C5100">
      <w:start w:val="1"/>
      <w:numFmt w:val="decimal"/>
      <w:lvlText w:val="%1)"/>
      <w:lvlJc w:val="left"/>
      <w:pPr>
        <w:ind w:left="1485" w:hanging="360"/>
      </w:pPr>
      <w:rPr>
        <w:rFonts w:ascii="Calibri" w:hAnsi="Calibri" w:hint="default"/>
        <w:b w:val="0"/>
        <w:i w:val="0"/>
        <w:sz w:val="20"/>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24"/>
    <w:rsid w:val="000068A0"/>
    <w:rsid w:val="0001364D"/>
    <w:rsid w:val="00016D82"/>
    <w:rsid w:val="000278C3"/>
    <w:rsid w:val="0006029A"/>
    <w:rsid w:val="00066EAF"/>
    <w:rsid w:val="000752F2"/>
    <w:rsid w:val="0009079D"/>
    <w:rsid w:val="0009106F"/>
    <w:rsid w:val="000A3E53"/>
    <w:rsid w:val="000A6AC9"/>
    <w:rsid w:val="000B479E"/>
    <w:rsid w:val="000D0FEA"/>
    <w:rsid w:val="000E085F"/>
    <w:rsid w:val="000F212B"/>
    <w:rsid w:val="00125962"/>
    <w:rsid w:val="00152830"/>
    <w:rsid w:val="00183857"/>
    <w:rsid w:val="00186A07"/>
    <w:rsid w:val="00187AF5"/>
    <w:rsid w:val="00196C0D"/>
    <w:rsid w:val="001D55A8"/>
    <w:rsid w:val="00210501"/>
    <w:rsid w:val="0021319E"/>
    <w:rsid w:val="00253A61"/>
    <w:rsid w:val="00254523"/>
    <w:rsid w:val="00265B51"/>
    <w:rsid w:val="00266B70"/>
    <w:rsid w:val="002761A9"/>
    <w:rsid w:val="002960B3"/>
    <w:rsid w:val="002A382C"/>
    <w:rsid w:val="002B15C5"/>
    <w:rsid w:val="002C3717"/>
    <w:rsid w:val="002E0C5B"/>
    <w:rsid w:val="00305AE5"/>
    <w:rsid w:val="00313E1A"/>
    <w:rsid w:val="003419B2"/>
    <w:rsid w:val="00353E22"/>
    <w:rsid w:val="003721BB"/>
    <w:rsid w:val="003A0C20"/>
    <w:rsid w:val="003B2025"/>
    <w:rsid w:val="003E34ED"/>
    <w:rsid w:val="0044247D"/>
    <w:rsid w:val="0046435A"/>
    <w:rsid w:val="00492154"/>
    <w:rsid w:val="004A0DB7"/>
    <w:rsid w:val="00500481"/>
    <w:rsid w:val="00530C6A"/>
    <w:rsid w:val="005B2CB3"/>
    <w:rsid w:val="005C05AA"/>
    <w:rsid w:val="005E0721"/>
    <w:rsid w:val="00604DFE"/>
    <w:rsid w:val="006125BF"/>
    <w:rsid w:val="00617D71"/>
    <w:rsid w:val="00647BA1"/>
    <w:rsid w:val="00680620"/>
    <w:rsid w:val="00691D4D"/>
    <w:rsid w:val="006A33F4"/>
    <w:rsid w:val="006A709A"/>
    <w:rsid w:val="006C5E13"/>
    <w:rsid w:val="00701D99"/>
    <w:rsid w:val="007119AE"/>
    <w:rsid w:val="00713BEF"/>
    <w:rsid w:val="0073396A"/>
    <w:rsid w:val="00744EFF"/>
    <w:rsid w:val="007659AB"/>
    <w:rsid w:val="00784DF0"/>
    <w:rsid w:val="007B37C8"/>
    <w:rsid w:val="007B75EE"/>
    <w:rsid w:val="007E494D"/>
    <w:rsid w:val="00805AE6"/>
    <w:rsid w:val="00843507"/>
    <w:rsid w:val="0084750C"/>
    <w:rsid w:val="00866370"/>
    <w:rsid w:val="008725AE"/>
    <w:rsid w:val="0088674C"/>
    <w:rsid w:val="008942A3"/>
    <w:rsid w:val="008F573C"/>
    <w:rsid w:val="008F7630"/>
    <w:rsid w:val="009026F0"/>
    <w:rsid w:val="00934A70"/>
    <w:rsid w:val="00954924"/>
    <w:rsid w:val="009778B5"/>
    <w:rsid w:val="009853AE"/>
    <w:rsid w:val="009A4EF7"/>
    <w:rsid w:val="009C0382"/>
    <w:rsid w:val="009D2450"/>
    <w:rsid w:val="009D265F"/>
    <w:rsid w:val="00A41D73"/>
    <w:rsid w:val="00A42644"/>
    <w:rsid w:val="00A51516"/>
    <w:rsid w:val="00A53FAE"/>
    <w:rsid w:val="00A77CBB"/>
    <w:rsid w:val="00AB2718"/>
    <w:rsid w:val="00AE1BE7"/>
    <w:rsid w:val="00B05522"/>
    <w:rsid w:val="00B172B0"/>
    <w:rsid w:val="00B20052"/>
    <w:rsid w:val="00B41A8D"/>
    <w:rsid w:val="00BA0D16"/>
    <w:rsid w:val="00BB6C3A"/>
    <w:rsid w:val="00BD3D5F"/>
    <w:rsid w:val="00BE314C"/>
    <w:rsid w:val="00C0063E"/>
    <w:rsid w:val="00C17F42"/>
    <w:rsid w:val="00C34612"/>
    <w:rsid w:val="00C40A0A"/>
    <w:rsid w:val="00C658B7"/>
    <w:rsid w:val="00C67164"/>
    <w:rsid w:val="00C931C8"/>
    <w:rsid w:val="00CB1219"/>
    <w:rsid w:val="00CD20CF"/>
    <w:rsid w:val="00CD2EB8"/>
    <w:rsid w:val="00CF4A28"/>
    <w:rsid w:val="00D10825"/>
    <w:rsid w:val="00D10FA2"/>
    <w:rsid w:val="00D45DD3"/>
    <w:rsid w:val="00D673BB"/>
    <w:rsid w:val="00D920C3"/>
    <w:rsid w:val="00D978EB"/>
    <w:rsid w:val="00DC3B3A"/>
    <w:rsid w:val="00E46BF8"/>
    <w:rsid w:val="00E50315"/>
    <w:rsid w:val="00E62DFA"/>
    <w:rsid w:val="00EB2CAE"/>
    <w:rsid w:val="00EC0D19"/>
    <w:rsid w:val="00EE6097"/>
    <w:rsid w:val="00F21693"/>
    <w:rsid w:val="00F53D2C"/>
    <w:rsid w:val="00F71C2E"/>
    <w:rsid w:val="00F90104"/>
    <w:rsid w:val="00FA5308"/>
    <w:rsid w:val="00FC4E95"/>
    <w:rsid w:val="00FD0CFA"/>
    <w:rsid w:val="00FD2F3D"/>
    <w:rsid w:val="00FF05FF"/>
    <w:rsid w:val="00FF5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5E2B-3C75-4366-B5F3-001BE12A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Echinococcus_multilocularis" TargetMode="External"/><Relationship Id="rId3" Type="http://schemas.openxmlformats.org/officeDocument/2006/relationships/settings" Target="settings.xml"/><Relationship Id="rId7" Type="http://schemas.openxmlformats.org/officeDocument/2006/relationships/hyperlink" Target="https://pl.wikipedia.org/wiki/Tasiemiec_b%C4%85blowc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Echinococcus" TargetMode="External"/><Relationship Id="rId5" Type="http://schemas.openxmlformats.org/officeDocument/2006/relationships/hyperlink" Target="https://pl.wikipedia.org/wiki/Tasiem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11125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Zielecka, Grazyna</dc:creator>
  <cp:keywords/>
  <dc:description/>
  <cp:lastModifiedBy>Lucyna</cp:lastModifiedBy>
  <cp:revision>2</cp:revision>
  <dcterms:created xsi:type="dcterms:W3CDTF">2019-06-05T15:22:00Z</dcterms:created>
  <dcterms:modified xsi:type="dcterms:W3CDTF">2019-06-05T15:22:00Z</dcterms:modified>
</cp:coreProperties>
</file>